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77425"/>
      <w:bookmarkStart w:id="1" w:name="_Toc15378441"/>
      <w:bookmarkStart w:id="2" w:name="_Toc15396597"/>
      <w:bookmarkStart w:id="3" w:name="_Toc15396475"/>
      <w:bookmarkStart w:id="4" w:name="_Toc15377193"/>
      <w:bookmarkStart w:id="5" w:name="_Toc15306267"/>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77194"/>
      <w:bookmarkStart w:id="8" w:name="_Toc15396476"/>
      <w:bookmarkStart w:id="9" w:name="_Toc15396598"/>
      <w:bookmarkStart w:id="10" w:name="_Toc15377426"/>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阿坝州妇女联合会</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r>
        <w:rPr>
          <w:rFonts w:hint="eastAsia" w:ascii="Times New Roman" w:eastAsia="方正小标宋简体" w:cs="Times New Roman"/>
          <w:color w:val="auto"/>
          <w:kern w:val="2"/>
          <w:sz w:val="44"/>
          <w:szCs w:val="44"/>
          <w:highlight w:val="none"/>
          <w:lang w:val="en-US" w:eastAsia="zh-CN" w:bidi="ar-SA"/>
        </w:rPr>
        <w:t>公开</w:t>
      </w:r>
      <w:bookmarkStart w:id="114" w:name="_GoBack"/>
      <w:bookmarkEnd w:id="114"/>
    </w:p>
    <w:p>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18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205488550"/>
        <w15:color w:val="DBDBDB"/>
        <w:docPartObj>
          <w:docPartGallery w:val="Table of Contents"/>
          <w:docPartUnique/>
        </w:docPartObj>
      </w:sdtPr>
      <w:sdtEndPr>
        <w:rPr>
          <w:rFonts w:ascii="Times New Roman" w:hAnsi="Times New Roman" w:eastAsia="宋体" w:cs="Times New Roman"/>
          <w:b/>
          <w:color w:val="auto"/>
          <w:kern w:val="2"/>
          <w:sz w:val="21"/>
          <w:szCs w:val="24"/>
          <w:highlight w:val="none"/>
          <w:lang w:val="en-US" w:eastAsia="zh-CN" w:bidi="ar-SA"/>
        </w:rPr>
      </w:sdtEndPr>
      <w:sdtContent>
        <w:p>
          <w:pPr>
            <w:spacing w:before="0" w:beforeLines="0" w:after="0" w:afterLines="0" w:line="240" w:lineRule="auto"/>
            <w:ind w:left="0" w:leftChars="0" w:right="0" w:rightChars="0" w:firstLine="0" w:firstLineChars="0"/>
            <w:jc w:val="center"/>
          </w:pPr>
        </w:p>
        <w:p>
          <w:pPr>
            <w:pStyle w:val="37"/>
            <w:tabs>
              <w:tab w:val="right" w:leader="dot" w:pos="8306"/>
            </w:tabs>
            <w:rPr>
              <w:rFonts w:hint="default" w:ascii="Times New Roman" w:hAnsi="Times New Roman" w:eastAsia="方正仿宋_GBK" w:cs="Times New Roman"/>
              <w:b/>
              <w:sz w:val="32"/>
              <w:szCs w:val="32"/>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方正黑体_GBK" w:hAnsi="方正黑体_GBK" w:eastAsia="方正黑体_GBK" w:cs="方正黑体_GBK"/>
              <w:b/>
              <w:color w:val="auto"/>
              <w:sz w:val="32"/>
              <w:szCs w:val="32"/>
              <w:highlight w:val="none"/>
            </w:rPr>
            <w:fldChar w:fldCharType="begin"/>
          </w:r>
          <w:r>
            <w:rPr>
              <w:rFonts w:hint="eastAsia" w:ascii="方正黑体_GBK" w:hAnsi="方正黑体_GBK" w:eastAsia="方正黑体_GBK" w:cs="方正黑体_GBK"/>
              <w:b/>
              <w:sz w:val="32"/>
              <w:szCs w:val="32"/>
              <w:highlight w:val="none"/>
            </w:rPr>
            <w:instrText xml:space="preserve"> HYPERLINK \l _Toc355547953 </w:instrText>
          </w:r>
          <w:r>
            <w:rPr>
              <w:rFonts w:hint="eastAsia" w:ascii="方正黑体_GBK" w:hAnsi="方正黑体_GBK" w:eastAsia="方正黑体_GBK" w:cs="方正黑体_GBK"/>
              <w:b/>
              <w:sz w:val="32"/>
              <w:szCs w:val="32"/>
              <w:highlight w:val="none"/>
            </w:rPr>
            <w:fldChar w:fldCharType="separate"/>
          </w:r>
          <w:r>
            <w:rPr>
              <w:rFonts w:hint="eastAsia" w:ascii="方正黑体_GBK" w:hAnsi="方正黑体_GBK" w:eastAsia="方正黑体_GBK" w:cs="方正黑体_GBK"/>
              <w:b/>
              <w:sz w:val="32"/>
              <w:szCs w:val="32"/>
              <w:highlight w:val="none"/>
            </w:rPr>
            <w:t>第一部分</w:t>
          </w:r>
          <w:r>
            <w:rPr>
              <w:rFonts w:hint="eastAsia" w:ascii="方正黑体_GBK" w:hAnsi="方正黑体_GBK" w:eastAsia="方正黑体_GBK" w:cs="方正黑体_GBK"/>
              <w:b/>
              <w:sz w:val="32"/>
              <w:szCs w:val="32"/>
              <w:highlight w:val="none"/>
              <w:lang w:val="en-US" w:eastAsia="zh-CN"/>
            </w:rPr>
            <w:t xml:space="preserve"> </w:t>
          </w:r>
          <w:r>
            <w:rPr>
              <w:rFonts w:hint="eastAsia" w:ascii="方正黑体_GBK" w:hAnsi="方正黑体_GBK" w:eastAsia="方正黑体_GBK" w:cs="方正黑体_GBK"/>
              <w:b/>
              <w:sz w:val="32"/>
              <w:szCs w:val="32"/>
              <w:highlight w:val="none"/>
            </w:rPr>
            <w:t xml:space="preserve"> </w:t>
          </w:r>
          <w:r>
            <w:rPr>
              <w:rFonts w:hint="eastAsia" w:ascii="方正黑体_GBK" w:hAnsi="方正黑体_GBK" w:eastAsia="方正黑体_GBK" w:cs="方正黑体_GBK"/>
              <w:b/>
              <w:bCs w:val="0"/>
              <w:sz w:val="32"/>
              <w:szCs w:val="32"/>
              <w:highlight w:val="none"/>
            </w:rPr>
            <w:t>部门概况</w:t>
          </w:r>
          <w:r>
            <w:rPr>
              <w:rFonts w:hint="eastAsia" w:ascii="方正黑体_GBK" w:hAnsi="方正黑体_GBK" w:eastAsia="方正黑体_GBK" w:cs="方正黑体_GBK"/>
              <w:b/>
              <w:sz w:val="32"/>
              <w:szCs w:val="32"/>
            </w:rPr>
            <w:tab/>
          </w:r>
          <w:r>
            <w:rPr>
              <w:rFonts w:hint="eastAsia" w:ascii="方正黑体_GBK" w:hAnsi="方正黑体_GBK" w:eastAsia="方正黑体_GBK" w:cs="方正黑体_GBK"/>
              <w:b/>
              <w:sz w:val="32"/>
              <w:szCs w:val="32"/>
            </w:rPr>
            <w:fldChar w:fldCharType="begin"/>
          </w:r>
          <w:r>
            <w:rPr>
              <w:rFonts w:hint="eastAsia" w:ascii="方正黑体_GBK" w:hAnsi="方正黑体_GBK" w:eastAsia="方正黑体_GBK" w:cs="方正黑体_GBK"/>
              <w:b/>
              <w:sz w:val="32"/>
              <w:szCs w:val="32"/>
            </w:rPr>
            <w:instrText xml:space="preserve"> PAGEREF _Toc355547953 \h </w:instrText>
          </w:r>
          <w:r>
            <w:rPr>
              <w:rFonts w:hint="eastAsia" w:ascii="方正黑体_GBK" w:hAnsi="方正黑体_GBK" w:eastAsia="方正黑体_GBK" w:cs="方正黑体_GBK"/>
              <w:b/>
              <w:sz w:val="32"/>
              <w:szCs w:val="32"/>
            </w:rPr>
            <w:fldChar w:fldCharType="separate"/>
          </w:r>
          <w:r>
            <w:rPr>
              <w:rFonts w:hint="eastAsia" w:ascii="方正黑体_GBK" w:hAnsi="方正黑体_GBK" w:eastAsia="方正黑体_GBK" w:cs="方正黑体_GBK"/>
              <w:b/>
              <w:sz w:val="32"/>
              <w:szCs w:val="32"/>
            </w:rPr>
            <w:t>- 1 -</w:t>
          </w:r>
          <w:r>
            <w:rPr>
              <w:rFonts w:hint="eastAsia" w:ascii="方正黑体_GBK" w:hAnsi="方正黑体_GBK" w:eastAsia="方正黑体_GBK" w:cs="方正黑体_GBK"/>
              <w:b/>
              <w:sz w:val="32"/>
              <w:szCs w:val="32"/>
            </w:rPr>
            <w:fldChar w:fldCharType="end"/>
          </w:r>
          <w:r>
            <w:rPr>
              <w:rFonts w:hint="eastAsia" w:ascii="方正黑体_GBK" w:hAnsi="方正黑体_GBK" w:eastAsia="方正黑体_GBK" w:cs="方正黑体_GBK"/>
              <w:b/>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_Toc1946993180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lang w:eastAsia="zh-CN"/>
            </w:rPr>
            <w:t xml:space="preserve">一、 </w:t>
          </w:r>
          <w:r>
            <w:rPr>
              <w:rFonts w:hint="default" w:ascii="Times New Roman" w:hAnsi="Times New Roman" w:eastAsia="方正仿宋_GBK" w:cs="Times New Roman"/>
              <w:sz w:val="32"/>
              <w:szCs w:val="32"/>
              <w:highlight w:val="none"/>
              <w:lang w:eastAsia="zh-CN"/>
            </w:rPr>
            <w:t>部门职责</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_Toc1946993180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_Toc1199164762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二、机</w:t>
          </w:r>
          <w:r>
            <w:rPr>
              <w:rFonts w:hint="default" w:ascii="Times New Roman" w:hAnsi="Times New Roman" w:eastAsia="方正仿宋_GBK" w:cs="Times New Roman"/>
              <w:bCs w:val="0"/>
              <w:sz w:val="32"/>
              <w:szCs w:val="32"/>
              <w:highlight w:val="none"/>
            </w:rPr>
            <w:t>构设置</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_Toc1199164762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7"/>
            <w:tabs>
              <w:tab w:val="right" w:leader="dot" w:pos="8306"/>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color w:val="auto"/>
              <w:sz w:val="32"/>
              <w:szCs w:val="32"/>
              <w:highlight w:val="none"/>
            </w:rPr>
            <w:fldChar w:fldCharType="begin"/>
          </w:r>
          <w:r>
            <w:rPr>
              <w:rFonts w:hint="default" w:ascii="Times New Roman" w:hAnsi="Times New Roman" w:eastAsia="方正仿宋_GBK" w:cs="Times New Roman"/>
              <w:b/>
              <w:sz w:val="32"/>
              <w:szCs w:val="32"/>
              <w:highlight w:val="none"/>
            </w:rPr>
            <w:instrText xml:space="preserve"> HYPERLINK \l _Toc630791872 </w:instrText>
          </w:r>
          <w:r>
            <w:rPr>
              <w:rFonts w:hint="default" w:ascii="Times New Roman" w:hAnsi="Times New Roman" w:eastAsia="方正仿宋_GBK" w:cs="Times New Roman"/>
              <w:b/>
              <w:sz w:val="32"/>
              <w:szCs w:val="32"/>
              <w:highlight w:val="none"/>
            </w:rPr>
            <w:fldChar w:fldCharType="separate"/>
          </w:r>
          <w:r>
            <w:rPr>
              <w:rFonts w:hint="default" w:ascii="方正黑体_GBK" w:hAnsi="方正黑体_GBK" w:eastAsia="方正黑体_GBK" w:cs="方正黑体_GBK"/>
              <w:b/>
              <w:color w:val="auto"/>
              <w:sz w:val="32"/>
              <w:szCs w:val="32"/>
              <w:highlight w:val="none"/>
            </w:rPr>
            <w:t>第二部分</w:t>
          </w:r>
          <w:r>
            <w:rPr>
              <w:rFonts w:hint="default" w:ascii="方正黑体_GBK" w:hAnsi="方正黑体_GBK" w:eastAsia="方正黑体_GBK" w:cs="方正黑体_GBK"/>
              <w:b/>
              <w:color w:val="auto"/>
              <w:sz w:val="32"/>
              <w:szCs w:val="32"/>
              <w:highlight w:val="none"/>
              <w:lang w:val="en-US" w:eastAsia="zh-CN"/>
            </w:rPr>
            <w:t xml:space="preserve"> </w:t>
          </w:r>
          <w:r>
            <w:rPr>
              <w:rFonts w:hint="default" w:ascii="方正黑体_GBK" w:hAnsi="方正黑体_GBK" w:eastAsia="方正黑体_GBK" w:cs="方正黑体_GBK"/>
              <w:b/>
              <w:color w:val="auto"/>
              <w:sz w:val="32"/>
              <w:szCs w:val="32"/>
              <w:highlight w:val="none"/>
            </w:rPr>
            <w:t xml:space="preserve"> </w:t>
          </w:r>
          <w:r>
            <w:rPr>
              <w:rFonts w:hint="default" w:ascii="方正黑体_GBK" w:hAnsi="方正黑体_GBK" w:eastAsia="方正黑体_GBK" w:cs="方正黑体_GBK"/>
              <w:b/>
              <w:color w:val="auto"/>
              <w:sz w:val="32"/>
              <w:szCs w:val="32"/>
              <w:highlight w:val="none"/>
              <w:lang w:val="en-US" w:eastAsia="zh-CN"/>
            </w:rPr>
            <w:t>2025年度</w:t>
          </w:r>
          <w:r>
            <w:rPr>
              <w:rFonts w:hint="default" w:ascii="方正黑体_GBK" w:hAnsi="方正黑体_GBK" w:eastAsia="方正黑体_GBK" w:cs="方正黑体_GBK"/>
              <w:b/>
              <w:color w:val="auto"/>
              <w:sz w:val="32"/>
              <w:szCs w:val="32"/>
              <w:highlight w:val="none"/>
            </w:rPr>
            <w:t>部门决算情况说明</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_Toc630791872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- 3 -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_Toc1372604700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lang w:eastAsia="zh-CN"/>
            </w:rPr>
            <w:t>一、</w:t>
          </w:r>
          <w:r>
            <w:rPr>
              <w:rFonts w:hint="default" w:ascii="Times New Roman" w:hAnsi="Times New Roman" w:eastAsia="方正仿宋_GBK" w:cs="Times New Roman"/>
              <w:sz w:val="32"/>
              <w:szCs w:val="32"/>
              <w:highlight w:val="none"/>
            </w:rPr>
            <w:t>收入支出决算总体情况说明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_Toc1372604700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- 3 -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_Toc695942466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lang w:eastAsia="zh-CN"/>
            </w:rPr>
            <w:t>二、收入决算情况说明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_Toc695942466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- 3 -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_Toc552997695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lang w:eastAsia="zh-CN"/>
            </w:rPr>
            <w:t>三、</w:t>
          </w:r>
          <w:r>
            <w:rPr>
              <w:rFonts w:hint="default" w:ascii="Times New Roman" w:hAnsi="Times New Roman" w:eastAsia="方正仿宋_GBK" w:cs="Times New Roman"/>
              <w:sz w:val="32"/>
              <w:szCs w:val="32"/>
              <w:highlight w:val="none"/>
            </w:rPr>
            <w:t>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_Toc552997695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- 4 -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_Toc1406107407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四、财政拨款收入支出决算总体情况说明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_Toc1406107407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- 4 -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_Toc1051576521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五、一般公共预算财政拨款支出决算情况说明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_Toc1051576521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- 5 -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_Toc1617757813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六、一般公共预算财政拨款基本支出决算情况说明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_Toc1617757813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- 8 -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_Toc1641260354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七、财政拨款“三公”经费支出决算情况说明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_Toc1641260354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- 9 -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_Toc1504074050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八、政府性基金预算支出决算情况说明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_Toc1504074050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_Toc565120048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lang w:eastAsia="zh-CN"/>
            </w:rPr>
            <w:t>九、</w:t>
          </w:r>
          <w:r>
            <w:rPr>
              <w:rFonts w:hint="default" w:ascii="Times New Roman" w:hAnsi="Times New Roman" w:eastAsia="方正仿宋_GBK" w:cs="Times New Roman"/>
              <w:sz w:val="32"/>
              <w:szCs w:val="32"/>
              <w:highlight w:val="none"/>
            </w:rPr>
            <w:t>国有资本经营预算支出决算情况说明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_Toc565120048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8"/>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\l _Toc1232764591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lang w:eastAsia="zh-CN"/>
            </w:rPr>
            <w:t>十、</w:t>
          </w:r>
          <w:r>
            <w:rPr>
              <w:rFonts w:hint="default" w:ascii="Times New Roman" w:hAnsi="Times New Roman" w:eastAsia="方正仿宋_GBK" w:cs="Times New Roman"/>
              <w:sz w:val="32"/>
              <w:szCs w:val="32"/>
              <w:highlight w:val="none"/>
            </w:rPr>
            <w:t>其他重要事项的情况说明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_Toc1232764591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- 11 -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color w:val="auto"/>
              <w:sz w:val="32"/>
              <w:szCs w:val="32"/>
              <w:highlight w:val="none"/>
            </w:rPr>
            <w:fldChar w:fldCharType="end"/>
          </w:r>
        </w:p>
        <w:p>
          <w:pPr>
            <w:pStyle w:val="37"/>
            <w:tabs>
              <w:tab w:val="right" w:leader="dot" w:pos="8306"/>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color w:val="auto"/>
              <w:sz w:val="32"/>
              <w:szCs w:val="32"/>
              <w:highlight w:val="none"/>
            </w:rPr>
            <w:fldChar w:fldCharType="begin"/>
          </w:r>
          <w:r>
            <w:rPr>
              <w:rFonts w:hint="default" w:ascii="Times New Roman" w:hAnsi="Times New Roman" w:eastAsia="方正仿宋_GBK" w:cs="Times New Roman"/>
              <w:b/>
              <w:sz w:val="32"/>
              <w:szCs w:val="32"/>
              <w:highlight w:val="none"/>
            </w:rPr>
            <w:instrText xml:space="preserve"> HYPERLINK \l _Toc34056661 </w:instrText>
          </w:r>
          <w:r>
            <w:rPr>
              <w:rFonts w:hint="default" w:ascii="Times New Roman" w:hAnsi="Times New Roman" w:eastAsia="方正仿宋_GBK" w:cs="Times New Roman"/>
              <w:b/>
              <w:sz w:val="32"/>
              <w:szCs w:val="32"/>
              <w:highlight w:val="none"/>
            </w:rPr>
            <w:fldChar w:fldCharType="separate"/>
          </w:r>
          <w:r>
            <w:rPr>
              <w:rFonts w:hint="default" w:ascii="方正黑体_GBK" w:hAnsi="方正黑体_GBK" w:eastAsia="方正黑体_GBK" w:cs="方正黑体_GBK"/>
              <w:b/>
              <w:color w:val="auto"/>
              <w:sz w:val="32"/>
              <w:szCs w:val="32"/>
              <w:highlight w:val="none"/>
            </w:rPr>
            <w:t>第三部分名词解释</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_Toc34056661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- 14 -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color w:val="auto"/>
              <w:sz w:val="32"/>
              <w:szCs w:val="32"/>
              <w:highlight w:val="none"/>
            </w:rPr>
            <w:fldChar w:fldCharType="end"/>
          </w:r>
        </w:p>
        <w:p>
          <w:pPr>
            <w:pStyle w:val="37"/>
            <w:tabs>
              <w:tab w:val="right" w:leader="dot" w:pos="8306"/>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color w:val="auto"/>
              <w:sz w:val="32"/>
              <w:szCs w:val="32"/>
              <w:highlight w:val="none"/>
            </w:rPr>
            <w:fldChar w:fldCharType="begin"/>
          </w:r>
          <w:r>
            <w:rPr>
              <w:rFonts w:hint="default" w:ascii="Times New Roman" w:hAnsi="Times New Roman" w:eastAsia="方正仿宋_GBK" w:cs="Times New Roman"/>
              <w:b/>
              <w:sz w:val="32"/>
              <w:szCs w:val="32"/>
              <w:highlight w:val="none"/>
            </w:rPr>
            <w:instrText xml:space="preserve"> HYPERLINK \l _Toc710564817 </w:instrText>
          </w:r>
          <w:r>
            <w:rPr>
              <w:rFonts w:hint="default" w:ascii="Times New Roman" w:hAnsi="Times New Roman" w:eastAsia="方正仿宋_GBK" w:cs="Times New Roman"/>
              <w:b/>
              <w:sz w:val="32"/>
              <w:szCs w:val="32"/>
              <w:highlight w:val="none"/>
            </w:rPr>
            <w:fldChar w:fldCharType="separate"/>
          </w:r>
          <w:r>
            <w:rPr>
              <w:rFonts w:hint="default" w:ascii="方正黑体_GBK" w:hAnsi="方正黑体_GBK" w:eastAsia="方正黑体_GBK" w:cs="方正黑体_GBK"/>
              <w:b/>
              <w:color w:val="auto"/>
              <w:sz w:val="32"/>
              <w:szCs w:val="32"/>
              <w:highlight w:val="none"/>
            </w:rPr>
            <w:t>第四部分 附件</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_Toc710564817 \h </w:instrText>
          </w:r>
          <w:r>
            <w:rPr>
              <w:rFonts w:hint="default" w:ascii="Times New Roman" w:hAnsi="Times New Roman" w:eastAsia="方正仿宋_GBK" w:cs="Times New Roman"/>
              <w:b/>
              <w:sz w:val="32"/>
              <w:szCs w:val="32"/>
            </w:rPr>
            <w:fldChar w:fldCharType="separate"/>
          </w:r>
          <w:r>
            <w:rPr>
              <w:b/>
            </w:rPr>
            <w:t>错误！未定义书签。</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color w:val="auto"/>
              <w:sz w:val="32"/>
              <w:szCs w:val="32"/>
              <w:highlight w:val="none"/>
            </w:rPr>
            <w:fldChar w:fldCharType="end"/>
          </w:r>
        </w:p>
        <w:p>
          <w:pPr>
            <w:pStyle w:val="37"/>
            <w:tabs>
              <w:tab w:val="right" w:leader="dot" w:pos="8306"/>
            </w:tabs>
            <w:rPr>
              <w:b/>
            </w:rPr>
          </w:pPr>
          <w:r>
            <w:rPr>
              <w:rFonts w:hint="default" w:ascii="Times New Roman" w:hAnsi="Times New Roman" w:eastAsia="方正仿宋_GBK" w:cs="Times New Roman"/>
              <w:b/>
              <w:color w:val="auto"/>
              <w:sz w:val="32"/>
              <w:szCs w:val="32"/>
              <w:highlight w:val="none"/>
            </w:rPr>
            <w:fldChar w:fldCharType="begin"/>
          </w:r>
          <w:r>
            <w:rPr>
              <w:rFonts w:hint="default" w:ascii="Times New Roman" w:hAnsi="Times New Roman" w:eastAsia="方正仿宋_GBK" w:cs="Times New Roman"/>
              <w:b/>
              <w:sz w:val="32"/>
              <w:szCs w:val="32"/>
              <w:highlight w:val="none"/>
            </w:rPr>
            <w:instrText xml:space="preserve"> HYPERLINK \l _Toc1902045895 </w:instrText>
          </w:r>
          <w:r>
            <w:rPr>
              <w:rFonts w:hint="default" w:ascii="Times New Roman" w:hAnsi="Times New Roman" w:eastAsia="方正仿宋_GBK" w:cs="Times New Roman"/>
              <w:b/>
              <w:sz w:val="32"/>
              <w:szCs w:val="32"/>
              <w:highlight w:val="none"/>
            </w:rPr>
            <w:fldChar w:fldCharType="separate"/>
          </w:r>
          <w:r>
            <w:rPr>
              <w:rFonts w:hint="default" w:ascii="方正黑体_GBK" w:hAnsi="方正黑体_GBK" w:eastAsia="方正黑体_GBK" w:cs="方正黑体_GBK"/>
              <w:b/>
              <w:color w:val="auto"/>
              <w:sz w:val="32"/>
              <w:szCs w:val="32"/>
              <w:highlight w:val="none"/>
            </w:rPr>
            <w:t>第五部分 附表</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_Toc1902045895 \h </w:instrText>
          </w:r>
          <w:r>
            <w:rPr>
              <w:rFonts w:hint="default" w:ascii="Times New Roman" w:hAnsi="Times New Roman" w:eastAsia="方正仿宋_GBK" w:cs="Times New Roman"/>
              <w:b/>
              <w:sz w:val="32"/>
              <w:szCs w:val="32"/>
            </w:rPr>
            <w:fldChar w:fldCharType="separate"/>
          </w:r>
          <w:r>
            <w:rPr>
              <w:b/>
            </w:rPr>
            <w:t>错误！未定义书签。</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color w:val="auto"/>
              <w:sz w:val="32"/>
              <w:szCs w:val="32"/>
              <w:highlight w:val="none"/>
            </w:rPr>
            <w:fldChar w:fldCharType="end"/>
          </w:r>
        </w:p>
        <w:p>
          <w:pPr>
            <w:rPr>
              <w:rFonts w:hint="eastAsia"/>
            </w:rPr>
          </w:pPr>
          <w:r>
            <w:rPr>
              <w:rFonts w:ascii="Times New Roman" w:hAnsi="Times New Roman"/>
              <w:b/>
              <w:color w:val="auto"/>
              <w:highlight w:val="none"/>
            </w:rPr>
            <w:fldChar w:fldCharType="end"/>
          </w:r>
          <w:bookmarkStart w:id="12" w:name="_Toc15377196"/>
          <w:bookmarkStart w:id="13" w:name="_Toc15396599"/>
          <w:bookmarkStart w:id="14" w:name="_Toc355547953"/>
        </w:p>
      </w:sdtContent>
    </w:sdt>
    <w:p>
      <w:pPr>
        <w:pStyle w:val="2"/>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pPr>
    </w:p>
    <w:p>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bookmarkEnd w:id="14"/>
    </w:p>
    <w:p>
      <w:pPr>
        <w:pStyle w:val="3"/>
        <w:numPr>
          <w:ilvl w:val="0"/>
          <w:numId w:val="1"/>
        </w:numPr>
        <w:rPr>
          <w:rFonts w:hint="eastAsia" w:ascii="Times New Roman" w:hAnsi="Times New Roman" w:eastAsia="黑体"/>
          <w:b w:val="0"/>
          <w:color w:val="auto"/>
          <w:highlight w:val="none"/>
          <w:lang w:eastAsia="zh-CN"/>
        </w:rPr>
      </w:pPr>
      <w:bookmarkStart w:id="15" w:name="_Toc1946993180"/>
      <w:r>
        <w:rPr>
          <w:rFonts w:hint="eastAsia" w:ascii="Times New Roman" w:hAnsi="Times New Roman" w:eastAsia="黑体"/>
          <w:b w:val="0"/>
          <w:color w:val="auto"/>
          <w:highlight w:val="none"/>
          <w:lang w:eastAsia="zh-CN"/>
        </w:rPr>
        <w:t>部门职责</w:t>
      </w:r>
      <w:bookmarkEnd w:id="15"/>
    </w:p>
    <w:p>
      <w:pPr>
        <w:ind w:firstLine="525" w:firstLineChars="250"/>
        <w:rPr>
          <w:rFonts w:hint="eastAsia" w:ascii="Times New Roman" w:hAnsi="Times New Roman" w:eastAsia="仿宋_GB2312" w:cs="仿宋_GB2312"/>
          <w:color w:val="auto"/>
          <w:sz w:val="32"/>
          <w:szCs w:val="32"/>
          <w:highlight w:val="none"/>
          <w:lang w:val="en-US" w:eastAsia="zh-CN"/>
        </w:rPr>
      </w:pPr>
      <w:r>
        <w:rPr>
          <w:rFonts w:hint="eastAsia"/>
          <w:lang w:val="en-US" w:eastAsia="zh-CN"/>
        </w:rPr>
        <w:t xml:space="preserve">      </w:t>
      </w:r>
      <w:r>
        <w:rPr>
          <w:rFonts w:hint="eastAsia" w:ascii="Times New Roman" w:hAnsi="Times New Roman" w:eastAsia="仿宋_GB2312" w:cs="仿宋_GB2312"/>
          <w:color w:val="auto"/>
          <w:sz w:val="32"/>
          <w:szCs w:val="32"/>
          <w:highlight w:val="none"/>
          <w:lang w:val="en-US" w:eastAsia="zh-CN"/>
        </w:rPr>
        <w:t>阿坝州妇女联合会（以下简称“州妇联”）是在州委领导下的人民团体，是党和政府联系妇女群众的桥梁和纽带。本部门主要职责包括：</w:t>
      </w:r>
    </w:p>
    <w:p>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1.坚持正确的政治方向，团结、教育全州各族各界妇女在思想上、行动上同党中央保持高度一致；</w:t>
      </w:r>
    </w:p>
    <w:p>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2.代表妇女参与国家和社会事务的民主管理和民主监督；</w:t>
      </w:r>
    </w:p>
    <w:p>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3.关注并加强研究涉及妇女切身利益的热点、难点问题，及时向州委、州政府反映社情民意，提出对策建议；</w:t>
      </w:r>
    </w:p>
    <w:p>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4.依法维护妇女儿童的合法权益；</w:t>
      </w:r>
    </w:p>
    <w:p>
      <w:pPr>
        <w:ind w:firstLine="800" w:firstLineChars="25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5.为妇女儿童服务、为基层服务，加强与社会各界的联系，协调推动全社会为妇女儿童办实事、办好事；</w:t>
      </w:r>
    </w:p>
    <w:p>
      <w:pPr>
        <w:ind w:firstLine="800" w:firstLineChars="250"/>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6.承担州政府妇女儿童工作委员会办公室日常工作。</w:t>
      </w:r>
    </w:p>
    <w:p>
      <w:pPr>
        <w:pStyle w:val="3"/>
        <w:rPr>
          <w:rStyle w:val="29"/>
          <w:rFonts w:ascii="Times New Roman" w:hAnsi="Times New Roman"/>
          <w:b w:val="0"/>
          <w:bCs w:val="0"/>
          <w:color w:val="auto"/>
          <w:highlight w:val="none"/>
        </w:rPr>
      </w:pPr>
      <w:bookmarkStart w:id="16" w:name="_Toc1199164762"/>
      <w:bookmarkStart w:id="17" w:name="_Toc15377200"/>
      <w:bookmarkStart w:id="18"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bookmarkEnd w:id="18"/>
    </w:p>
    <w:p>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州妇联属一级预算单位。本年度纳入本套决算编制范围的独立编制机构数共2个，比上年增加1个；独立核算机构数共2个，比上年增加1个，主要原因为2025年新成立下属事业单位阿坝州妇女儿童中心。州妇联</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州妇联内设一室三部，即办公室、家儿维权部、组织宣传部、发展联络部。州政府妇儿工委办设在我会。</w:t>
      </w:r>
    </w:p>
    <w:p>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州妇联下属二级预算单位1个，其中其他事业单位1个。纳入州妇联2025年度部门决算编制范围的二级预算单位包括：</w:t>
      </w:r>
    </w:p>
    <w:p>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1.阿坝州妇女联合会（机关）；</w:t>
      </w:r>
    </w:p>
    <w:p>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2.阿坝州妇女儿童中心。</w:t>
      </w:r>
    </w:p>
    <w:p>
      <w:pPr>
        <w:pStyle w:val="5"/>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截至2025年末，州妇联总编制14名，其中：行政编制11名，机关工勤人员3名；在职人员总数14名，其中行政人员10名、工勤人员3名、挂职副主席1人；退休人员6人。阿坝州妇女儿童中心总编制5名，均为事业编制；在职人员</w:t>
      </w:r>
      <w:r>
        <w:rPr>
          <w:rFonts w:hint="eastAsia" w:ascii="Times New Roman"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名，退休人员0人。</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rPr>
      </w:pPr>
      <w:bookmarkStart w:id="19" w:name="_Toc630791872"/>
      <w:bookmarkStart w:id="20" w:name="_Toc15377204"/>
      <w:bookmarkStart w:id="2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9"/>
      <w:bookmarkEnd w:id="20"/>
      <w:bookmarkEnd w:id="21"/>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3"/>
      <w:bookmarkStart w:id="23" w:name="_Toc1372604700"/>
      <w:bookmarkStart w:id="24"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2"/>
      <w:bookmarkEnd w:id="23"/>
      <w:bookmarkEnd w:id="24"/>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920.69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收入、支出总计各减少40.49万元，下降4.21%。主要变动原因：一是项目支出减少42.38万元；二是严格落实过紧日子要求，压减一般性支出和机关运行经费，日常公用经费减少21.75万元；三是因新成立阿坝州妇女儿童中心新增</w:t>
      </w: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名事业编制人员及正常工资晋升，</w:t>
      </w:r>
      <w:r>
        <w:rPr>
          <w:rFonts w:hint="eastAsia" w:ascii="Times New Roman" w:hAnsi="Times New Roman" w:eastAsia="仿宋_GB2312" w:cs="仿宋_GB2312"/>
          <w:color w:val="auto"/>
          <w:sz w:val="32"/>
          <w:szCs w:val="32"/>
          <w:highlight w:val="none"/>
          <w:lang w:eastAsia="zh-CN"/>
        </w:rPr>
        <w:t>部门</w:t>
      </w:r>
      <w:r>
        <w:rPr>
          <w:rFonts w:hint="eastAsia" w:ascii="Times New Roman" w:hAnsi="Times New Roman" w:eastAsia="仿宋_GB2312" w:cs="仿宋_GB2312"/>
          <w:color w:val="auto"/>
          <w:sz w:val="32"/>
          <w:szCs w:val="32"/>
          <w:highlight w:val="none"/>
        </w:rPr>
        <w:t>人员经费增加23.64万元。</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rPr>
      </w:pPr>
      <w:bookmarkStart w:id="25" w:name="_Toc683988084"/>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bookmarkEnd w:id="25"/>
    </w:p>
    <w:p>
      <w:pPr>
        <w:pStyle w:val="13"/>
        <w:jc w:val="center"/>
        <w:rPr>
          <w:rFonts w:hint="eastAsia"/>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13"/>
        <w:rPr>
          <w:rFonts w:hint="eastAsi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6" w:name="_Toc695942466"/>
      <w:bookmarkStart w:id="27" w:name="_Toc15377206"/>
      <w:bookmarkStart w:id="28" w:name="_Toc15396604"/>
      <w:r>
        <w:rPr>
          <w:rFonts w:hint="eastAsia" w:ascii="Times New Roman" w:hAnsi="Times New Roman" w:eastAsia="黑体"/>
          <w:color w:val="auto"/>
          <w:sz w:val="32"/>
          <w:szCs w:val="32"/>
          <w:highlight w:val="none"/>
          <w:lang w:eastAsia="zh-CN"/>
        </w:rPr>
        <w:t>二、收入决算情况说明</w:t>
      </w:r>
      <w:bookmarkEnd w:id="26"/>
      <w:bookmarkEnd w:id="27"/>
      <w:bookmarkEnd w:id="2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9" w:name="_Toc785127954"/>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920.69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920.69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bookmarkEnd w:id="2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bookmarkStart w:id="30" w:name="_Toc236602517"/>
      <w:r>
        <w:rPr>
          <w:rFonts w:hint="eastAsia" w:ascii="Times New Roman" w:hAnsi="Times New Roman" w:eastAsia="仿宋_GB2312" w:cs="仿宋_GB2312"/>
          <w:color w:val="auto"/>
          <w:sz w:val="32"/>
          <w:szCs w:val="32"/>
          <w:highlight w:val="none"/>
          <w:lang w:eastAsia="zh-CN"/>
        </w:rPr>
        <w:t>（图2：收入决算结构图）</w:t>
      </w:r>
      <w:bookmarkEnd w:id="30"/>
    </w:p>
    <w:p>
      <w:pPr>
        <w:pStyle w:val="13"/>
        <w:jc w:val="center"/>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7"/>
        <w:rPr>
          <w:rFonts w:hint="eastAsia"/>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31" w:name="_Toc552997695"/>
      <w:bookmarkStart w:id="32" w:name="_Toc15377207"/>
      <w:bookmarkStart w:id="3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31"/>
      <w:bookmarkEnd w:id="32"/>
      <w:bookmarkEnd w:id="3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4" w:name="_Toc64984955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920.69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517.22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56.17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403.47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43.82</w:t>
      </w:r>
      <w:r>
        <w:rPr>
          <w:rFonts w:hint="eastAsia" w:ascii="Times New Roman" w:hAnsi="Times New Roman" w:eastAsia="仿宋_GB2312" w:cs="仿宋_GB2312"/>
          <w:color w:val="auto"/>
          <w:sz w:val="32"/>
          <w:szCs w:val="32"/>
          <w:highlight w:val="none"/>
          <w:lang w:eastAsia="zh-CN"/>
        </w:rPr>
        <w:t>%。</w:t>
      </w:r>
      <w:bookmarkEnd w:id="34"/>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bookmarkStart w:id="35" w:name="_Toc1102401899"/>
      <w:r>
        <w:rPr>
          <w:rFonts w:hint="eastAsia" w:ascii="Times New Roman" w:hAnsi="Times New Roman" w:eastAsia="仿宋_GB2312" w:cs="仿宋_GB2312"/>
          <w:color w:val="auto"/>
          <w:sz w:val="32"/>
          <w:szCs w:val="32"/>
          <w:highlight w:val="none"/>
          <w:lang w:eastAsia="zh-CN"/>
        </w:rPr>
        <w:t>（图3：支出决算结构图）</w:t>
      </w:r>
      <w:bookmarkEnd w:id="3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59264" behindDoc="1" locked="0" layoutInCell="1" allowOverlap="1">
            <wp:simplePos x="0" y="0"/>
            <wp:positionH relativeFrom="column">
              <wp:posOffset>685800</wp:posOffset>
            </wp:positionH>
            <wp:positionV relativeFrom="paragraph">
              <wp:posOffset>32385</wp:posOffset>
            </wp:positionV>
            <wp:extent cx="4210050" cy="2573020"/>
            <wp:effectExtent l="4445" t="5080" r="14605" b="12700"/>
            <wp:wrapThrough wrapText="bothSides">
              <wp:wrapPolygon>
                <wp:start x="-23" y="-43"/>
                <wp:lineTo x="-23" y="21547"/>
                <wp:lineTo x="21577" y="21547"/>
                <wp:lineTo x="21577" y="-43"/>
                <wp:lineTo x="-23" y="-43"/>
              </wp:wrapPolygon>
            </wp:wrapThrough>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7"/>
        <w:ind w:left="0" w:leftChars="0" w:firstLine="0" w:firstLineChars="0"/>
        <w:jc w:val="center"/>
        <w:rPr>
          <w:rFonts w:hint="eastAsia"/>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36" w:name="_Toc15377208"/>
      <w:bookmarkStart w:id="37" w:name="_Toc15396606"/>
      <w:bookmarkStart w:id="38" w:name="_Toc1406107407"/>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6"/>
      <w:bookmarkEnd w:id="37"/>
      <w:bookmarkEnd w:id="3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920.69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年度相比，收入、支出总计各减少40.49万元，下降4.21%。</w:t>
      </w:r>
      <w:r>
        <w:rPr>
          <w:rFonts w:hint="eastAsia" w:ascii="Times New Roman" w:hAnsi="Times New Roman" w:eastAsia="仿宋_GB2312" w:cs="仿宋_GB2312"/>
          <w:color w:val="auto"/>
          <w:sz w:val="32"/>
          <w:szCs w:val="32"/>
          <w:highlight w:val="none"/>
        </w:rPr>
        <w:t>主要变动原因：一是项目支出减少42.38万元；二是严格落实过紧日子要求，压减一般性支出和机关运行经费，日常公用经费减少21.75万元；三是因新成立阿坝州妇女儿童中心新增</w:t>
      </w: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名事业编制人员及正常工资晋升，</w:t>
      </w:r>
      <w:r>
        <w:rPr>
          <w:rFonts w:hint="eastAsia" w:ascii="Times New Roman" w:hAnsi="Times New Roman" w:eastAsia="仿宋_GB2312" w:cs="仿宋_GB2312"/>
          <w:color w:val="auto"/>
          <w:sz w:val="32"/>
          <w:szCs w:val="32"/>
          <w:highlight w:val="none"/>
          <w:lang w:eastAsia="zh-CN"/>
        </w:rPr>
        <w:t>部门</w:t>
      </w:r>
      <w:r>
        <w:rPr>
          <w:rFonts w:hint="eastAsia" w:ascii="Times New Roman" w:hAnsi="Times New Roman" w:eastAsia="仿宋_GB2312" w:cs="仿宋_GB2312"/>
          <w:color w:val="auto"/>
          <w:sz w:val="32"/>
          <w:szCs w:val="32"/>
          <w:highlight w:val="none"/>
        </w:rPr>
        <w:t>人员经费增加23.64万元。</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72000" cy="2743200"/>
            <wp:effectExtent l="4445" t="4445" r="14605" b="1460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13"/>
        <w:rPr>
          <w:rFonts w:hint="eastAsia"/>
          <w:lang w:val="en-US"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39" w:name="_Toc15396607"/>
      <w:bookmarkStart w:id="40" w:name="_Toc1051576521"/>
      <w:bookmarkStart w:id="4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9"/>
      <w:bookmarkEnd w:id="40"/>
      <w:bookmarkEnd w:id="4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2"/>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920.69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年度相比，一般公共预算财政拨款支出减少40.49万元，下降4.21%。</w:t>
      </w:r>
      <w:r>
        <w:rPr>
          <w:rFonts w:hint="eastAsia" w:ascii="Times New Roman" w:hAnsi="Times New Roman" w:eastAsia="仿宋_GB2312" w:cs="仿宋_GB2312"/>
          <w:color w:val="auto"/>
          <w:sz w:val="32"/>
          <w:szCs w:val="32"/>
          <w:highlight w:val="none"/>
        </w:rPr>
        <w:t>主要变动原因：一是项目支出减少42.38万元；二是严格落实过紧日子要求，压减一般性支出和机关运行经费，日常公用经费减少21.75万元；三是因新成立阿坝州妇女儿童中心新增</w:t>
      </w: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名事业编制人员及正常工资晋升，</w:t>
      </w:r>
      <w:r>
        <w:rPr>
          <w:rFonts w:hint="eastAsia" w:ascii="Times New Roman" w:hAnsi="Times New Roman" w:eastAsia="仿宋_GB2312" w:cs="仿宋_GB2312"/>
          <w:color w:val="auto"/>
          <w:sz w:val="32"/>
          <w:szCs w:val="32"/>
          <w:highlight w:val="none"/>
          <w:lang w:eastAsia="zh-CN"/>
        </w:rPr>
        <w:t>部门</w:t>
      </w:r>
      <w:r>
        <w:rPr>
          <w:rFonts w:hint="eastAsia" w:ascii="Times New Roman" w:hAnsi="Times New Roman" w:eastAsia="仿宋_GB2312" w:cs="仿宋_GB2312"/>
          <w:color w:val="auto"/>
          <w:sz w:val="32"/>
          <w:szCs w:val="32"/>
          <w:highlight w:val="none"/>
        </w:rPr>
        <w:t>人员经费增加23.64万元。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pStyle w:val="19"/>
        <w:jc w:val="center"/>
        <w:outlineLvl w:val="9"/>
        <w:rPr>
          <w:rFonts w:hint="eastAsia"/>
          <w:lang w:val="en-US" w:eastAsia="zh-CN"/>
        </w:rPr>
      </w:pPr>
      <w:r>
        <w:drawing>
          <wp:inline distT="0" distB="0" distL="114300" distR="114300">
            <wp:extent cx="4572000" cy="2743200"/>
            <wp:effectExtent l="4445" t="4445" r="14605" b="1460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3"/>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920.69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：一般公共服务支出794.36万元，占86.28%；社会保障和就业支出74.16万元，占8.06%；卫生健康支出20.76万元，占2.25%；住房保障支出31.41万元，占3.41%。</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pStyle w:val="7"/>
        <w:ind w:left="0" w:leftChars="0" w:firstLine="0" w:firstLineChars="0"/>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72000" cy="2743200"/>
            <wp:effectExtent l="4445" t="4445" r="14605" b="14605"/>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5" w:name="_Toc15377213"/>
      <w:bookmarkStart w:id="46" w:name="_Toc15378460"/>
      <w:bookmarkStart w:id="4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920.69</w:t>
      </w:r>
      <w:r>
        <w:rPr>
          <w:rFonts w:hint="eastAsia" w:ascii="Times New Roman" w:hAnsi="Times New Roman" w:eastAsia="仿宋_GB2312" w:cs="仿宋_GB2312"/>
          <w:color w:val="auto"/>
          <w:kern w:val="2"/>
          <w:sz w:val="32"/>
          <w:szCs w:val="32"/>
          <w:highlight w:val="none"/>
          <w:lang w:val="en-US" w:eastAsia="zh-CN" w:bidi="ar-SA"/>
        </w:rPr>
        <w:t>，</w:t>
      </w:r>
      <w:bookmarkEnd w:id="45"/>
      <w:bookmarkEnd w:id="46"/>
      <w:bookmarkEnd w:id="47"/>
      <w:r>
        <w:rPr>
          <w:rFonts w:hint="eastAsia" w:ascii="Times New Roman" w:hAnsi="Times New Roman" w:eastAsia="仿宋_GB2312" w:cs="仿宋_GB2312"/>
          <w:color w:val="auto"/>
          <w:kern w:val="2"/>
          <w:sz w:val="32"/>
          <w:szCs w:val="32"/>
          <w:highlight w:val="none"/>
          <w:lang w:val="en-US" w:eastAsia="zh-CN" w:bidi="ar-SA"/>
        </w:rPr>
        <w:t>完成预算100%。决算数与全年预算数持平。其中：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1.一般公共服务（类）群众团体事务（款）行政运行（项）：支出决算为402.26万元，完成预算100%，决算数与预算数持平。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2.一般公共服务（类）群众团体事务（款）一般行政管理事务（项）：支出决算为359.08万元，完成预算100%，决算数与预算数持平。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3.一般公共服务（类）群众团体事务（款）事业运行（项）：支出决算为9.12万元，完成预算100%，决算数与预算数持平。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4.一般公共服务（类）群众团体事务（款）其他群众团体事务支出（项）：支出决算为23.90万元，完成预算100%，决算数与预算数持平。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5.社会保障和就业（类）行政事业单位养老支出（款）机关事业单位基本养老保险缴费支出（项）：支出决算为35.47万元，完成预算100%，决算数与预算数持平。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6.社会保障和就业（类）行政事业单位养老支出（款）机关事业单位职业年金缴费支出（项）：支出决算为18.20万元，完成预算100%，决算数与预算数持平。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7.社会保障和就业（类）就业补助（款）其他就业补助支出（项）：支出决算为20.49万元，完成预算100%，决算数与预算数持平。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8.卫生健康（类）行政事业单位医疗（款）行政单位医疗（项）：支出决算为16.66万元，完成预算100%，决算数与预算数持平。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9.卫生健康（类）行政事业单位医疗（款）事业单位医疗（项）：支出决算为0.70万元，完成预算100%，决算数与预算数持平。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10.卫生健康（类）行政事业单位医疗（款）公务员医疗补助（项）：支出决算为3.39万元，完成预算100%，决算数与预算数持平。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11.住房保障（类）住房改革支出（款）住房公积金（项）：支出决算为30.21万元，完成预算100%，决算数与预算数持平。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12.住房保障（类）住房改革支出（款）购房补贴（项）：支出决算为1.20万元，完成预算100%，决算数与预算数持平。</w:t>
      </w:r>
    </w:p>
    <w:p>
      <w:pPr>
        <w:tabs>
          <w:tab w:val="right" w:pos="8306"/>
        </w:tabs>
        <w:spacing w:line="600" w:lineRule="exact"/>
        <w:ind w:firstLine="640"/>
        <w:outlineLvl w:val="1"/>
        <w:rPr>
          <w:rStyle w:val="29"/>
          <w:rFonts w:ascii="Times New Roman" w:hAnsi="Times New Roman"/>
          <w:color w:val="auto"/>
          <w:highlight w:val="none"/>
        </w:rPr>
      </w:pPr>
      <w:bookmarkStart w:id="48" w:name="_Toc15377214"/>
      <w:bookmarkStart w:id="49" w:name="_Toc15396608"/>
      <w:bookmarkStart w:id="50" w:name="_Toc1617757813"/>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8"/>
      <w:bookmarkEnd w:id="49"/>
      <w:bookmarkEnd w:id="50"/>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color w:val="auto"/>
          <w:sz w:val="32"/>
          <w:szCs w:val="32"/>
        </w:rPr>
        <w:t>517.22</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452.71万元，主要包括：基本工资101.20万元、津贴补贴107.41万元、奖金53.29万元、伙食补助费9.74万元、绩效工资5.12万元、机关事业单位基本养老保险缴费35.47万元、职业年金缴费18.20万元、职工基本医疗保险缴费17.36万元、公务员医疗补助缴费3.39万元、其他社会保障缴费4.07万元、住房公积金30.21万元、其他工资福利支出67.25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64.51万元，主要包括：办公费21.78万元、电费2.85万元、邮电费6.79万元、差旅费11.18万元、租赁费1.38万元、会议费1.78万元、公务接待费0.06万元、劳务费2.24万元、委托业务费0.20万元、工会经费4.00万元、福利费3.31万元、公务用车运行维护费7.88万元、其他交通费用0.94万元、其他商品和服务支出0.11万元。</w:t>
      </w:r>
    </w:p>
    <w:p>
      <w:pPr>
        <w:spacing w:line="600" w:lineRule="exact"/>
        <w:ind w:firstLine="640"/>
        <w:outlineLvl w:val="1"/>
        <w:rPr>
          <w:rStyle w:val="29"/>
          <w:rFonts w:ascii="Times New Roman" w:hAnsi="Times New Roman" w:eastAsia="黑体"/>
          <w:b w:val="0"/>
          <w:color w:val="auto"/>
          <w:highlight w:val="none"/>
        </w:rPr>
      </w:pPr>
      <w:bookmarkStart w:id="51" w:name="_Toc15396609"/>
      <w:bookmarkStart w:id="52" w:name="_Toc1641260354"/>
      <w:bookmarkStart w:id="53"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51"/>
      <w:bookmarkEnd w:id="52"/>
      <w:bookmarkEnd w:id="5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17.84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%，较2024年度减少4.83万元，下降21.31%。决算数与预算数持平。</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2025年度财政拨款“三公”经费支出决算中，因公出国（境）费支出决算0.00万元，占0%；公务用车购置及运行维护费支出决算17.78万元，占99.66%；公务接待费支出决算0.06万元，占0.34%。具体情况如下：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jc w:val="center"/>
        <w:rPr>
          <w:rFonts w:hint="eastAsia"/>
          <w:lang w:val="en-US" w:eastAsia="zh-CN"/>
        </w:rPr>
      </w:pPr>
    </w:p>
    <w:p>
      <w:pPr>
        <w:jc w:val="center"/>
        <w:rPr>
          <w:rFonts w:hint="eastAsia"/>
          <w:lang w:val="en-US" w:eastAsia="zh-CN"/>
        </w:rPr>
      </w:pPr>
    </w:p>
    <w:p>
      <w:pPr>
        <w:jc w:val="center"/>
        <w:rPr>
          <w:rFonts w:hint="eastAsia"/>
          <w:lang w:val="en-US" w:eastAsia="zh-CN"/>
        </w:rPr>
      </w:pPr>
      <w:r>
        <w:drawing>
          <wp:anchor distT="0" distB="0" distL="114300" distR="114300" simplePos="0" relativeHeight="251661312" behindDoc="0" locked="0" layoutInCell="1" allowOverlap="1">
            <wp:simplePos x="0" y="0"/>
            <wp:positionH relativeFrom="column">
              <wp:posOffset>353695</wp:posOffset>
            </wp:positionH>
            <wp:positionV relativeFrom="paragraph">
              <wp:posOffset>-245110</wp:posOffset>
            </wp:positionV>
            <wp:extent cx="4594225" cy="2493645"/>
            <wp:effectExtent l="4445" t="4445" r="11430" b="16510"/>
            <wp:wrapNone/>
            <wp:docPr id="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1.因公出国（境）经费支出0.00万元，完成预算0%。</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全年安排因公出国（境）团组0次，出国（境）0人。与2024年度持平。主要原因是本部门无因公出国（境）任务。</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2.公务用车购置及运行维护费支出17.78万元，完成预算100%。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公务用车购置及运行维护费支出决算比2024年度减少4.73万元，下降21.01%。主要原因是严格落实公务用车管理规定，压减运行成本。</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本部门共有公务用车2辆，其中：轿车0辆、越野车2辆、载客汽车0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公务用车运行维护费支出17.78万元。主要用于到各县（市）</w:t>
      </w:r>
      <w:r>
        <w:rPr>
          <w:rFonts w:hint="eastAsia" w:eastAsia="仿宋_GB2312" w:cs="仿宋_GB2312"/>
          <w:color w:val="auto"/>
          <w:kern w:val="2"/>
          <w:sz w:val="32"/>
          <w:szCs w:val="32"/>
          <w:highlight w:val="none"/>
          <w:lang w:val="en-US" w:eastAsia="zh-CN" w:bidi="ar-SA"/>
        </w:rPr>
        <w:t>开展工作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3.公务接待费支出0.06万元，完成预算100%。</w:t>
      </w:r>
      <w:r>
        <w:rPr>
          <w:rFonts w:hint="eastAsia" w:ascii="Times New Roman" w:hAnsi="Times New Roman" w:eastAsia="仿宋_GB2312" w:cs="仿宋_GB2312"/>
          <w:color w:val="auto"/>
          <w:kern w:val="2"/>
          <w:sz w:val="32"/>
          <w:szCs w:val="32"/>
          <w:highlight w:val="none"/>
          <w:lang w:val="en-US" w:eastAsia="zh-CN" w:bidi="ar-SA"/>
        </w:rPr>
        <w:t>公务接待费支出决算比2024年度减少0.10万元，下降62.50%。主要原因是厉行节约，严格控制公务接待。其中：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0.06万元，主要用于用餐费。国内公务接待1批次，4人次（不包括陪同人员），共计支出0.06万元，具体内容包括：2025年10月20日四川省妇女儿童工作委员会赴阿坝州开展两纲中期调研,在州4天,2025年10月22日于阿坝州恒合酒店管理有限公司用餐600元整。</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56" w:name="_Toc15377218"/>
      <w:bookmarkStart w:id="57" w:name="_Toc15396610"/>
    </w:p>
    <w:p>
      <w:pPr>
        <w:spacing w:line="600" w:lineRule="exact"/>
        <w:ind w:firstLine="640"/>
        <w:outlineLvl w:val="1"/>
        <w:rPr>
          <w:rStyle w:val="29"/>
          <w:rFonts w:ascii="Times New Roman" w:hAnsi="Times New Roman" w:eastAsia="黑体"/>
          <w:color w:val="auto"/>
          <w:highlight w:val="none"/>
        </w:rPr>
      </w:pPr>
      <w:bookmarkStart w:id="58" w:name="_Toc1504074050"/>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6"/>
      <w:bookmarkEnd w:id="57"/>
      <w:bookmarkEnd w:id="5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2025年度政府性基金预算财政拨款支出0万元，占本年支出合计的0%。与2024年度相比持平。本部门不涉及政府性基金预算财政拨款支出。</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9" w:name="_Toc15396611"/>
      <w:bookmarkStart w:id="60" w:name="_Toc15377219"/>
      <w:bookmarkStart w:id="61" w:name="_Toc565120048"/>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9"/>
      <w:bookmarkEnd w:id="60"/>
      <w:bookmarkEnd w:id="6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2025年度国有资本经营预算财政拨款支出0万元，占本年支出合计的0%。与2024年度相比持平。本部门不涉及国有资本经营预算财政拨款支出。</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62" w:name="_Toc15396612"/>
      <w:bookmarkStart w:id="63" w:name="_Toc1232764591"/>
      <w:bookmarkStart w:id="64"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62"/>
      <w:bookmarkEnd w:id="63"/>
      <w:bookmarkEnd w:id="6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5" w:name="_Toc15377222"/>
      <w:r>
        <w:rPr>
          <w:rFonts w:hint="eastAsia" w:ascii="Times New Roman" w:hAnsi="Times New Roman" w:eastAsia="楷体_GB2312" w:cs="楷体_GB2312"/>
          <w:b/>
          <w:color w:val="auto"/>
          <w:sz w:val="32"/>
          <w:szCs w:val="32"/>
          <w:highlight w:val="none"/>
        </w:rPr>
        <w:t>（一）机关运行经费支出情况</w:t>
      </w:r>
      <w:bookmarkEnd w:id="6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2025年度，州妇联机关运行经费支出64.51万元，比2024年度减少21.75万元，下降25.21%。主要原因是严格落实过紧日子要求，压减一般性支出。</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6" w:name="_Toc15377223"/>
      <w:r>
        <w:rPr>
          <w:rFonts w:hint="eastAsia" w:ascii="Times New Roman" w:hAnsi="Times New Roman" w:eastAsia="楷体_GB2312" w:cs="楷体_GB2312"/>
          <w:b/>
          <w:color w:val="auto"/>
          <w:sz w:val="32"/>
          <w:szCs w:val="32"/>
          <w:highlight w:val="none"/>
        </w:rPr>
        <w:t>（二）政府采购支出情况</w:t>
      </w:r>
      <w:bookmarkEnd w:id="6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州妇联</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156.67</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155.99</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0.68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车辆保险</w:t>
      </w:r>
      <w:r>
        <w:rPr>
          <w:rFonts w:hint="eastAsia" w:ascii="Times New Roman" w:hAnsi="Times New Roman" w:eastAsia="仿宋_GB2312" w:cs="仿宋_GB2312"/>
          <w:color w:val="auto"/>
          <w:kern w:val="2"/>
          <w:sz w:val="32"/>
          <w:szCs w:val="32"/>
          <w:highlight w:val="none"/>
          <w:lang w:val="en-US" w:eastAsia="zh-CN" w:bidi="ar-SA"/>
        </w:rPr>
        <w:t>（具体工作）。授予中小企业合同金额</w:t>
      </w:r>
      <w:r>
        <w:rPr>
          <w:rFonts w:hint="eastAsia" w:ascii="仿宋_GB2312" w:hAnsi="仿宋_GB2312" w:eastAsia="仿宋_GB2312" w:cs="仿宋_GB2312"/>
          <w:sz w:val="32"/>
          <w:szCs w:val="32"/>
        </w:rPr>
        <w:t>155.99</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99.56</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7" w:name="_Toc15377224"/>
      <w:r>
        <w:rPr>
          <w:rFonts w:hint="eastAsia" w:ascii="Times New Roman" w:hAnsi="Times New Roman" w:eastAsia="楷体_GB2312" w:cs="楷体_GB2312"/>
          <w:b/>
          <w:color w:val="auto"/>
          <w:sz w:val="32"/>
          <w:szCs w:val="32"/>
          <w:highlight w:val="none"/>
        </w:rPr>
        <w:t>（三）国有资产占有使用情况</w:t>
      </w:r>
      <w:bookmarkEnd w:id="6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州妇联</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辆，其他用车主要是用于到各县（市）调研</w:t>
      </w:r>
      <w:r>
        <w:rPr>
          <w:rFonts w:hint="eastAsia" w:eastAsia="仿宋_GB2312" w:cs="仿宋_GB2312"/>
          <w:color w:val="auto"/>
          <w:kern w:val="2"/>
          <w:sz w:val="32"/>
          <w:szCs w:val="32"/>
          <w:highlight w:val="none"/>
          <w:lang w:val="en-US" w:eastAsia="zh-CN" w:bidi="ar-SA"/>
        </w:rPr>
        <w:t>,参会等日常工作。</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after="60" w:line="360" w:lineRule="auto"/>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州妇联（部门）在2025年度预算编制阶段，组织对基层组织建设工作经费、2025年浙江援建项目—浙爱暖心行囊、家庭教育指导服务专项经费等项目开展了事前绩效评估，并编制了绩效目标；预算执行过程中，选取项目开展绩效监控。</w:t>
      </w:r>
    </w:p>
    <w:p>
      <w:pPr>
        <w:spacing w:after="60" w:line="360" w:lineRule="auto"/>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等全面开展绩效自评，形成部门预算（含部门预算项目）绩效自评报告及专项预算项目绩效自评报告。本部门纳入绩效自评的部门预算项目共13个，预算绩效目标总体完成良好，涉及一般公共预算财政拨款项目支出403.47万元，预算执行率100%。绩效自评报告详见附件。</w:t>
      </w:r>
    </w:p>
    <w:p>
      <w:pPr>
        <w:jc w:val="center"/>
        <w:outlineLvl w:val="0"/>
        <w:rPr>
          <w:rFonts w:hint="eastAsia" w:eastAsia="黑体"/>
          <w:sz w:val="44"/>
          <w:szCs w:val="44"/>
        </w:rPr>
      </w:pPr>
      <w:bookmarkStart w:id="68" w:name="_Toc1813487900"/>
      <w:bookmarkStart w:id="69" w:name="_Toc34056661"/>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hint="eastAsia" w:eastAsia="黑体"/>
          <w:sz w:val="44"/>
          <w:szCs w:val="44"/>
        </w:rPr>
      </w:pPr>
    </w:p>
    <w:p>
      <w:pPr>
        <w:jc w:val="center"/>
        <w:outlineLvl w:val="0"/>
        <w:rPr>
          <w:rFonts w:eastAsia="黑体"/>
          <w:sz w:val="44"/>
          <w:szCs w:val="44"/>
        </w:rPr>
      </w:pPr>
      <w:r>
        <w:rPr>
          <w:rFonts w:hint="eastAsia" w:eastAsia="黑体"/>
          <w:sz w:val="44"/>
          <w:szCs w:val="44"/>
        </w:rPr>
        <w:t>第三部分名词解释</w:t>
      </w:r>
      <w:bookmarkEnd w:id="68"/>
      <w:bookmarkEnd w:id="69"/>
    </w:p>
    <w:p>
      <w:pPr>
        <w:spacing w:line="600" w:lineRule="exact"/>
        <w:jc w:val="left"/>
        <w:rPr>
          <w:b/>
          <w:sz w:val="44"/>
          <w:szCs w:val="44"/>
        </w:rPr>
      </w:pPr>
    </w:p>
    <w:p>
      <w:pPr>
        <w:pStyle w:val="26"/>
        <w:spacing w:line="560" w:lineRule="exact"/>
        <w:ind w:firstLine="642" w:firstLineChars="200"/>
        <w:outlineLvl w:val="9"/>
        <w:rPr>
          <w:rFonts w:ascii="仿宋_GB2312" w:eastAsia="仿宋_GB2312"/>
          <w:color w:val="auto"/>
          <w:sz w:val="32"/>
          <w:szCs w:val="32"/>
        </w:rPr>
      </w:pPr>
      <w:bookmarkStart w:id="70" w:name="_Toc24727"/>
      <w:bookmarkStart w:id="71" w:name="_Toc573"/>
      <w:bookmarkStart w:id="72" w:name="_Toc8892"/>
      <w:bookmarkStart w:id="73" w:name="_Toc11282"/>
      <w:bookmarkStart w:id="74" w:name="_Toc18795"/>
      <w:bookmarkStart w:id="75" w:name="_Toc17406"/>
      <w:bookmarkStart w:id="76" w:name="_Toc8725"/>
      <w:bookmarkStart w:id="77" w:name="_Toc15396614"/>
      <w:bookmarkStart w:id="78" w:name="_Toc15377226"/>
      <w:r>
        <w:rPr>
          <w:rFonts w:hint="eastAsia" w:ascii="仿宋" w:hAnsi="仿宋" w:eastAsia="仿宋" w:cs="仿宋"/>
          <w:b/>
          <w:bCs/>
          <w:color w:val="000000"/>
          <w:kern w:val="2"/>
          <w:sz w:val="32"/>
          <w:szCs w:val="32"/>
          <w:lang w:val="en-US" w:eastAsia="zh-CN" w:bidi="ar-SA"/>
        </w:rPr>
        <w:t>1.</w:t>
      </w:r>
      <w:r>
        <w:rPr>
          <w:rFonts w:hint="eastAsia" w:ascii="仿宋_GB2312" w:eastAsia="仿宋_GB2312"/>
          <w:color w:val="auto"/>
          <w:sz w:val="32"/>
          <w:szCs w:val="32"/>
        </w:rPr>
        <w:t>财政拨款收入：指单位从同级财政部门取得的财政预算资金。</w:t>
      </w:r>
      <w:bookmarkEnd w:id="70"/>
      <w:bookmarkEnd w:id="71"/>
      <w:bookmarkEnd w:id="72"/>
      <w:bookmarkEnd w:id="73"/>
      <w:bookmarkEnd w:id="74"/>
      <w:bookmarkEnd w:id="75"/>
      <w:bookmarkEnd w:id="76"/>
    </w:p>
    <w:p>
      <w:pPr>
        <w:pStyle w:val="26"/>
        <w:spacing w:line="560" w:lineRule="exact"/>
        <w:ind w:firstLine="642" w:firstLineChars="200"/>
        <w:rPr>
          <w:rFonts w:ascii="仿宋_GB2312" w:eastAsia="仿宋_GB2312"/>
          <w:color w:val="auto"/>
          <w:sz w:val="32"/>
          <w:szCs w:val="32"/>
        </w:rPr>
      </w:pPr>
      <w:r>
        <w:rPr>
          <w:rFonts w:hint="eastAsia" w:ascii="仿宋" w:hAnsi="仿宋" w:eastAsia="仿宋" w:cs="仿宋"/>
          <w:b/>
          <w:bCs/>
          <w:color w:val="000000"/>
          <w:kern w:val="2"/>
          <w:sz w:val="32"/>
          <w:szCs w:val="32"/>
          <w:lang w:val="en-US" w:eastAsia="zh-CN" w:bidi="ar-SA"/>
        </w:rPr>
        <w:t>2.</w:t>
      </w:r>
      <w:r>
        <w:rPr>
          <w:rFonts w:hint="eastAsia" w:ascii="仿宋_GB2312" w:eastAsia="仿宋_GB2312"/>
          <w:color w:val="auto"/>
          <w:sz w:val="32"/>
          <w:szCs w:val="32"/>
        </w:rPr>
        <w:t>事业收入：指事业单位开展专业业务活动及辅助活动取得的收入。</w:t>
      </w:r>
    </w:p>
    <w:p>
      <w:pPr>
        <w:pStyle w:val="26"/>
        <w:spacing w:line="560" w:lineRule="exact"/>
        <w:ind w:firstLine="642" w:firstLineChars="200"/>
        <w:rPr>
          <w:rFonts w:ascii="仿宋_GB2312" w:eastAsia="仿宋_GB2312"/>
          <w:color w:val="auto"/>
          <w:sz w:val="32"/>
          <w:szCs w:val="32"/>
        </w:rPr>
      </w:pPr>
      <w:r>
        <w:rPr>
          <w:rFonts w:hint="eastAsia" w:ascii="仿宋" w:hAnsi="仿宋" w:eastAsia="仿宋" w:cs="仿宋"/>
          <w:b/>
          <w:bCs/>
          <w:color w:val="000000"/>
          <w:kern w:val="2"/>
          <w:sz w:val="32"/>
          <w:szCs w:val="32"/>
          <w:lang w:val="en-US" w:eastAsia="zh-CN" w:bidi="ar-SA"/>
        </w:rPr>
        <w:t>3.</w:t>
      </w:r>
      <w:r>
        <w:rPr>
          <w:rFonts w:hint="eastAsia" w:ascii="仿宋_GB2312" w:eastAsia="仿宋_GB2312"/>
          <w:color w:val="auto"/>
          <w:sz w:val="32"/>
          <w:szCs w:val="32"/>
        </w:rPr>
        <w:t>经营收入：指事业单位在专业业务活动及其辅助活动之外开展非独立核算经营活动取得的收入。</w:t>
      </w:r>
    </w:p>
    <w:p>
      <w:pPr>
        <w:pStyle w:val="26"/>
        <w:spacing w:line="560" w:lineRule="exact"/>
        <w:ind w:firstLine="642" w:firstLineChars="200"/>
        <w:outlineLvl w:val="9"/>
        <w:rPr>
          <w:rFonts w:ascii="仿宋_GB2312" w:eastAsia="仿宋_GB2312"/>
          <w:color w:val="auto"/>
          <w:sz w:val="32"/>
          <w:szCs w:val="32"/>
        </w:rPr>
      </w:pPr>
      <w:bookmarkStart w:id="79" w:name="_Toc7288"/>
      <w:bookmarkStart w:id="80" w:name="_Toc8427"/>
      <w:bookmarkStart w:id="81" w:name="_Toc14883"/>
      <w:bookmarkStart w:id="82" w:name="_Toc9660"/>
      <w:bookmarkStart w:id="83" w:name="_Toc27318"/>
      <w:bookmarkStart w:id="84" w:name="_Toc4788"/>
      <w:bookmarkStart w:id="85" w:name="_Toc19502"/>
      <w:r>
        <w:rPr>
          <w:rFonts w:hint="eastAsia" w:ascii="仿宋" w:hAnsi="仿宋" w:eastAsia="仿宋" w:cs="仿宋"/>
          <w:b/>
          <w:bCs/>
          <w:color w:val="000000"/>
          <w:kern w:val="2"/>
          <w:sz w:val="32"/>
          <w:szCs w:val="32"/>
          <w:lang w:val="en-US" w:eastAsia="zh-CN" w:bidi="ar-SA"/>
        </w:rPr>
        <w:t>4.</w:t>
      </w:r>
      <w:r>
        <w:rPr>
          <w:rFonts w:hint="eastAsia" w:ascii="仿宋_GB2312" w:eastAsia="仿宋_GB2312"/>
          <w:color w:val="auto"/>
          <w:sz w:val="32"/>
          <w:szCs w:val="32"/>
        </w:rPr>
        <w:t>其他收入：指单位取得的除上述收入以外的各项收入。</w:t>
      </w:r>
      <w:bookmarkEnd w:id="79"/>
      <w:bookmarkEnd w:id="80"/>
      <w:bookmarkEnd w:id="81"/>
      <w:bookmarkEnd w:id="82"/>
      <w:bookmarkEnd w:id="83"/>
      <w:bookmarkEnd w:id="84"/>
      <w:bookmarkEnd w:id="85"/>
    </w:p>
    <w:p>
      <w:pPr>
        <w:pStyle w:val="26"/>
        <w:spacing w:line="560" w:lineRule="exact"/>
        <w:ind w:firstLine="642" w:firstLineChars="200"/>
        <w:rPr>
          <w:rFonts w:ascii="仿宋_GB2312" w:eastAsia="仿宋_GB2312"/>
          <w:color w:val="auto"/>
          <w:sz w:val="32"/>
          <w:szCs w:val="32"/>
        </w:rPr>
      </w:pPr>
      <w:r>
        <w:rPr>
          <w:rFonts w:hint="eastAsia" w:ascii="仿宋" w:hAnsi="仿宋" w:eastAsia="仿宋" w:cs="仿宋"/>
          <w:b/>
          <w:bCs/>
          <w:color w:val="000000"/>
          <w:kern w:val="2"/>
          <w:sz w:val="32"/>
          <w:szCs w:val="32"/>
          <w:lang w:val="en-US" w:eastAsia="zh-CN" w:bidi="ar-SA"/>
        </w:rPr>
        <w:t>5.</w:t>
      </w:r>
      <w:r>
        <w:rPr>
          <w:rFonts w:hint="eastAsia" w:ascii="仿宋_GB2312" w:eastAsia="仿宋_GB2312"/>
          <w:color w:val="auto"/>
          <w:sz w:val="32"/>
          <w:szCs w:val="32"/>
        </w:rPr>
        <w:t>使用非财政拨款结余：指事业单位使用以前年度积累的非财政拨款结余弥补当年收支差额的金额。</w:t>
      </w:r>
    </w:p>
    <w:p>
      <w:pPr>
        <w:pStyle w:val="26"/>
        <w:spacing w:line="560" w:lineRule="exact"/>
        <w:ind w:firstLine="642" w:firstLineChars="200"/>
        <w:rPr>
          <w:rFonts w:ascii="仿宋_GB2312" w:eastAsia="仿宋_GB2312"/>
          <w:color w:val="auto"/>
          <w:sz w:val="32"/>
          <w:szCs w:val="32"/>
        </w:rPr>
      </w:pPr>
      <w:r>
        <w:rPr>
          <w:rFonts w:hint="eastAsia" w:ascii="仿宋" w:hAnsi="仿宋" w:eastAsia="仿宋" w:cs="仿宋"/>
          <w:b/>
          <w:bCs/>
          <w:color w:val="000000"/>
          <w:kern w:val="2"/>
          <w:sz w:val="32"/>
          <w:szCs w:val="32"/>
          <w:lang w:val="en-US" w:eastAsia="zh-CN" w:bidi="ar-SA"/>
        </w:rPr>
        <w:t>6.</w:t>
      </w:r>
      <w:r>
        <w:rPr>
          <w:rFonts w:hint="eastAsia" w:ascii="仿宋_GB2312" w:eastAsia="仿宋_GB2312"/>
          <w:color w:val="auto"/>
          <w:sz w:val="32"/>
          <w:szCs w:val="32"/>
        </w:rPr>
        <w:t>年初结转和结余：指以前年度尚未完成、结转到本年按有关规定继续使用的资金。</w:t>
      </w:r>
    </w:p>
    <w:p>
      <w:pPr>
        <w:pStyle w:val="26"/>
        <w:spacing w:line="560" w:lineRule="exact"/>
        <w:ind w:firstLine="642" w:firstLineChars="200"/>
        <w:rPr>
          <w:rFonts w:ascii="仿宋_GB2312" w:eastAsia="仿宋_GB2312"/>
          <w:color w:val="auto"/>
          <w:sz w:val="32"/>
          <w:szCs w:val="32"/>
        </w:rPr>
      </w:pPr>
      <w:r>
        <w:rPr>
          <w:rFonts w:hint="eastAsia" w:ascii="仿宋" w:hAnsi="仿宋" w:eastAsia="仿宋" w:cs="仿宋"/>
          <w:b/>
          <w:bCs/>
          <w:color w:val="000000"/>
          <w:kern w:val="2"/>
          <w:sz w:val="32"/>
          <w:szCs w:val="32"/>
          <w:lang w:val="en-US" w:eastAsia="zh-CN" w:bidi="ar-SA"/>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pPr>
        <w:pStyle w:val="26"/>
        <w:spacing w:line="560" w:lineRule="exact"/>
        <w:ind w:firstLine="642" w:firstLineChars="200"/>
        <w:rPr>
          <w:rFonts w:ascii="仿宋_GB2312" w:eastAsia="仿宋_GB2312"/>
          <w:color w:val="auto"/>
          <w:sz w:val="32"/>
          <w:szCs w:val="32"/>
        </w:rPr>
      </w:pPr>
      <w:r>
        <w:rPr>
          <w:rFonts w:hint="eastAsia" w:ascii="仿宋" w:hAnsi="仿宋" w:eastAsia="仿宋" w:cs="仿宋"/>
          <w:b/>
          <w:bCs/>
          <w:color w:val="000000"/>
          <w:kern w:val="2"/>
          <w:sz w:val="32"/>
          <w:szCs w:val="32"/>
          <w:lang w:val="en-US" w:eastAsia="zh-CN" w:bidi="ar-SA"/>
        </w:rPr>
        <w:t>8</w:t>
      </w:r>
      <w:r>
        <w:rPr>
          <w:rFonts w:hint="default" w:hAnsi="仿宋" w:cs="仿宋"/>
          <w:b/>
          <w:bCs/>
          <w:color w:val="000000"/>
          <w:kern w:val="2"/>
          <w:sz w:val="32"/>
          <w:szCs w:val="32"/>
          <w:lang w:val="en-US" w:eastAsia="zh-CN" w:bidi="ar-SA"/>
        </w:rPr>
        <w:t>.</w:t>
      </w:r>
      <w:r>
        <w:rPr>
          <w:rFonts w:hint="eastAsia" w:ascii="仿宋_GB2312" w:eastAsia="仿宋_GB2312"/>
          <w:color w:val="auto"/>
          <w:sz w:val="32"/>
          <w:szCs w:val="32"/>
        </w:rPr>
        <w:t>年末结转和结余：指单位按有关规定结转到下年或以后年度继续使用的资金。</w:t>
      </w:r>
    </w:p>
    <w:p>
      <w:pPr>
        <w:spacing w:line="576" w:lineRule="exact"/>
        <w:ind w:firstLine="642" w:firstLineChars="200"/>
        <w:rPr>
          <w:rFonts w:ascii="仿宋" w:hAnsi="仿宋" w:eastAsia="仿宋" w:cs="仿宋"/>
          <w:sz w:val="32"/>
          <w:szCs w:val="32"/>
        </w:rPr>
      </w:pPr>
      <w:r>
        <w:rPr>
          <w:rFonts w:hint="eastAsia" w:ascii="仿宋" w:hAnsi="仿宋" w:eastAsia="仿宋" w:cs="仿宋"/>
          <w:b/>
          <w:bCs/>
          <w:color w:val="000000"/>
          <w:sz w:val="32"/>
          <w:szCs w:val="32"/>
        </w:rPr>
        <w:t>9.</w:t>
      </w:r>
      <w:r>
        <w:rPr>
          <w:rFonts w:hint="eastAsia" w:ascii="仿宋" w:hAnsi="仿宋" w:eastAsia="仿宋" w:cs="仿宋"/>
          <w:sz w:val="32"/>
          <w:szCs w:val="32"/>
        </w:rPr>
        <w:t>一般公共服务（201）群众团体事务（29）行政运行（01）指：单位基本支出。</w:t>
      </w:r>
    </w:p>
    <w:p>
      <w:pPr>
        <w:spacing w:line="576" w:lineRule="exact"/>
        <w:ind w:firstLine="642" w:firstLineChars="200"/>
        <w:rPr>
          <w:rFonts w:ascii="仿宋" w:hAnsi="仿宋" w:eastAsia="仿宋" w:cs="仿宋"/>
          <w:sz w:val="32"/>
          <w:szCs w:val="32"/>
        </w:rPr>
      </w:pPr>
      <w:r>
        <w:rPr>
          <w:rFonts w:hint="eastAsia" w:ascii="仿宋" w:hAnsi="仿宋" w:eastAsia="仿宋" w:cs="仿宋"/>
          <w:b/>
          <w:bCs/>
          <w:color w:val="000000"/>
          <w:sz w:val="32"/>
          <w:szCs w:val="32"/>
        </w:rPr>
        <w:t>10.</w:t>
      </w:r>
      <w:r>
        <w:rPr>
          <w:rFonts w:hint="eastAsia" w:ascii="仿宋" w:hAnsi="仿宋" w:eastAsia="仿宋" w:cs="仿宋"/>
          <w:sz w:val="32"/>
          <w:szCs w:val="32"/>
        </w:rPr>
        <w:t>一般公共服务（201）群众团体事务（29）一般行政管理事务（02）指：单位项目经费。</w:t>
      </w:r>
    </w:p>
    <w:p>
      <w:pPr>
        <w:spacing w:line="576" w:lineRule="exact"/>
        <w:ind w:firstLine="642" w:firstLineChars="200"/>
        <w:rPr>
          <w:rFonts w:ascii="仿宋" w:hAnsi="仿宋" w:eastAsia="仿宋" w:cs="仿宋"/>
          <w:color w:val="000000"/>
          <w:sz w:val="32"/>
          <w:szCs w:val="32"/>
        </w:rPr>
      </w:pPr>
      <w:r>
        <w:rPr>
          <w:rFonts w:hint="eastAsia" w:ascii="仿宋" w:hAnsi="仿宋" w:eastAsia="仿宋" w:cs="仿宋"/>
          <w:b/>
          <w:bCs/>
          <w:sz w:val="32"/>
          <w:szCs w:val="32"/>
        </w:rPr>
        <w:t>11.</w:t>
      </w:r>
      <w:r>
        <w:rPr>
          <w:rFonts w:hint="eastAsia" w:ascii="仿宋" w:hAnsi="仿宋" w:eastAsia="仿宋" w:cs="仿宋"/>
          <w:sz w:val="32"/>
          <w:szCs w:val="32"/>
        </w:rPr>
        <w:t>一般公共服务（201）群众团体事务（29）其他群众团体事务支出（99）指</w:t>
      </w:r>
      <w:r>
        <w:rPr>
          <w:rFonts w:hint="eastAsia" w:ascii="仿宋" w:hAnsi="仿宋" w:eastAsia="仿宋" w:cs="仿宋"/>
          <w:color w:val="000000"/>
          <w:sz w:val="32"/>
          <w:szCs w:val="32"/>
        </w:rPr>
        <w:t>：妇女儿童事业专项经费。</w:t>
      </w:r>
    </w:p>
    <w:p>
      <w:pPr>
        <w:spacing w:line="576" w:lineRule="exact"/>
        <w:ind w:firstLine="642" w:firstLineChars="200"/>
        <w:rPr>
          <w:rFonts w:ascii="仿宋" w:hAnsi="仿宋" w:eastAsia="仿宋" w:cs="仿宋"/>
          <w:sz w:val="32"/>
          <w:szCs w:val="32"/>
        </w:rPr>
      </w:pPr>
      <w:r>
        <w:rPr>
          <w:rFonts w:hint="eastAsia" w:ascii="仿宋" w:hAnsi="仿宋" w:eastAsia="仿宋" w:cs="仿宋"/>
          <w:b/>
          <w:bCs/>
          <w:sz w:val="32"/>
          <w:szCs w:val="32"/>
        </w:rPr>
        <w:t>12.</w:t>
      </w:r>
      <w:r>
        <w:rPr>
          <w:rFonts w:hint="eastAsia" w:ascii="仿宋" w:hAnsi="仿宋" w:eastAsia="仿宋" w:cs="仿宋"/>
          <w:sz w:val="32"/>
          <w:szCs w:val="32"/>
        </w:rPr>
        <w:t>住房保障支出（221）住房改革支出（02）住房公积金（01）:指单位缴纳住房公积金。</w:t>
      </w:r>
    </w:p>
    <w:p>
      <w:pPr>
        <w:spacing w:line="576" w:lineRule="exact"/>
        <w:ind w:firstLine="642" w:firstLineChars="200"/>
        <w:rPr>
          <w:rFonts w:ascii="仿宋" w:hAnsi="仿宋" w:eastAsia="仿宋" w:cs="仿宋"/>
          <w:sz w:val="32"/>
          <w:szCs w:val="32"/>
        </w:rPr>
      </w:pPr>
      <w:r>
        <w:rPr>
          <w:rFonts w:hint="eastAsia" w:ascii="仿宋" w:hAnsi="仿宋" w:eastAsia="仿宋" w:cs="仿宋"/>
          <w:b/>
          <w:bCs/>
          <w:sz w:val="32"/>
          <w:szCs w:val="32"/>
        </w:rPr>
        <w:t>13.</w:t>
      </w:r>
      <w:r>
        <w:rPr>
          <w:rFonts w:hint="eastAsia" w:ascii="仿宋" w:hAnsi="仿宋" w:eastAsia="仿宋" w:cs="仿宋"/>
          <w:sz w:val="32"/>
          <w:szCs w:val="32"/>
        </w:rPr>
        <w:t>社会保障和就业（208）行政事业单位离退休（05）机关事业单位基本养老保险费缴费支出（05）指:单位缴纳养老保险费。</w:t>
      </w:r>
    </w:p>
    <w:p>
      <w:pPr>
        <w:spacing w:line="576" w:lineRule="exact"/>
        <w:ind w:firstLine="642" w:firstLineChars="200"/>
        <w:rPr>
          <w:rFonts w:ascii="仿宋" w:hAnsi="仿宋" w:eastAsia="仿宋" w:cs="仿宋"/>
          <w:sz w:val="32"/>
          <w:szCs w:val="32"/>
        </w:rPr>
      </w:pPr>
      <w:r>
        <w:rPr>
          <w:rFonts w:hint="eastAsia" w:ascii="仿宋" w:hAnsi="仿宋" w:eastAsia="仿宋" w:cs="仿宋"/>
          <w:b/>
          <w:bCs/>
          <w:sz w:val="32"/>
          <w:szCs w:val="32"/>
        </w:rPr>
        <w:t>14.</w:t>
      </w:r>
      <w:r>
        <w:rPr>
          <w:rFonts w:hint="eastAsia" w:ascii="仿宋" w:hAnsi="仿宋" w:eastAsia="仿宋" w:cs="仿宋"/>
          <w:sz w:val="32"/>
          <w:szCs w:val="32"/>
        </w:rPr>
        <w:t>社会保障和就业（208）行政事业单位离退休（05）机关事业单位职业年金缴费支出（06）指：单位缴纳职业年金。</w:t>
      </w:r>
    </w:p>
    <w:p>
      <w:pPr>
        <w:spacing w:line="576" w:lineRule="exact"/>
        <w:ind w:firstLine="642" w:firstLineChars="200"/>
        <w:rPr>
          <w:rFonts w:ascii="仿宋" w:hAnsi="仿宋" w:eastAsia="仿宋" w:cs="仿宋"/>
          <w:sz w:val="32"/>
          <w:szCs w:val="32"/>
        </w:rPr>
      </w:pPr>
      <w:r>
        <w:rPr>
          <w:rFonts w:hint="eastAsia" w:ascii="仿宋" w:hAnsi="仿宋" w:eastAsia="仿宋" w:cs="仿宋"/>
          <w:b/>
          <w:bCs/>
          <w:sz w:val="32"/>
          <w:szCs w:val="32"/>
        </w:rPr>
        <w:t>15.</w:t>
      </w:r>
      <w:r>
        <w:rPr>
          <w:rFonts w:hint="eastAsia" w:ascii="仿宋" w:hAnsi="仿宋" w:eastAsia="仿宋" w:cs="仿宋"/>
          <w:sz w:val="32"/>
          <w:szCs w:val="32"/>
        </w:rPr>
        <w:t>医疗卫生与计划生育（210）行政事业单位医疗（11）行政单位医疗（01）指:单位缴纳医疗保险费用。</w:t>
      </w:r>
    </w:p>
    <w:p>
      <w:pPr>
        <w:spacing w:line="576" w:lineRule="exact"/>
        <w:ind w:firstLine="642" w:firstLineChars="200"/>
        <w:rPr>
          <w:rFonts w:ascii="仿宋" w:hAnsi="仿宋" w:eastAsia="仿宋" w:cs="仿宋"/>
          <w:color w:val="000000"/>
          <w:sz w:val="32"/>
          <w:szCs w:val="32"/>
        </w:rPr>
      </w:pPr>
      <w:r>
        <w:rPr>
          <w:rFonts w:hint="eastAsia" w:ascii="仿宋" w:hAnsi="仿宋" w:eastAsia="仿宋" w:cs="仿宋"/>
          <w:b/>
          <w:bCs/>
          <w:sz w:val="32"/>
          <w:szCs w:val="32"/>
        </w:rPr>
        <w:t>16.</w:t>
      </w:r>
      <w:r>
        <w:rPr>
          <w:rFonts w:hint="eastAsia" w:ascii="仿宋" w:hAnsi="仿宋" w:eastAsia="仿宋" w:cs="仿宋"/>
          <w:sz w:val="32"/>
          <w:szCs w:val="32"/>
        </w:rPr>
        <w:t>医疗卫生与计划生育（210）行政事业单位医疗（11）公务员医疗补助（03）指:单位缴纳公务员医疗补助费用</w:t>
      </w:r>
      <w:r>
        <w:rPr>
          <w:rFonts w:hint="eastAsia" w:ascii="仿宋" w:hAnsi="仿宋" w:eastAsia="仿宋" w:cs="仿宋"/>
          <w:color w:val="000000"/>
          <w:sz w:val="32"/>
          <w:szCs w:val="32"/>
        </w:rPr>
        <w:t>。</w:t>
      </w:r>
    </w:p>
    <w:p>
      <w:pPr>
        <w:spacing w:line="576" w:lineRule="exact"/>
        <w:ind w:firstLine="642" w:firstLineChars="200"/>
        <w:outlineLvl w:val="9"/>
        <w:rPr>
          <w:rFonts w:ascii="仿宋" w:hAnsi="仿宋" w:eastAsia="仿宋" w:cs="仿宋"/>
          <w:color w:val="000000"/>
          <w:sz w:val="32"/>
          <w:szCs w:val="32"/>
        </w:rPr>
      </w:pPr>
      <w:bookmarkStart w:id="86" w:name="_Toc1538"/>
      <w:bookmarkStart w:id="87" w:name="_Toc4259"/>
      <w:bookmarkStart w:id="88" w:name="_Toc8959"/>
      <w:bookmarkStart w:id="89" w:name="_Toc4250"/>
      <w:bookmarkStart w:id="90" w:name="_Toc10661"/>
      <w:bookmarkStart w:id="91" w:name="_Toc12700"/>
      <w:bookmarkStart w:id="92" w:name="_Toc23223"/>
      <w:r>
        <w:rPr>
          <w:rFonts w:hint="eastAsia" w:ascii="仿宋" w:hAnsi="仿宋" w:eastAsia="仿宋" w:cs="仿宋"/>
          <w:b/>
          <w:bCs/>
          <w:color w:val="000000"/>
          <w:sz w:val="32"/>
          <w:szCs w:val="32"/>
        </w:rPr>
        <w:t>17.</w:t>
      </w:r>
      <w:r>
        <w:rPr>
          <w:rFonts w:hint="eastAsia" w:ascii="仿宋" w:hAnsi="仿宋" w:eastAsia="仿宋" w:cs="仿宋"/>
          <w:color w:val="000000"/>
          <w:sz w:val="32"/>
          <w:szCs w:val="32"/>
        </w:rPr>
        <w:t>“两癌”：指患宫颈癌和乳腺癌。</w:t>
      </w:r>
      <w:bookmarkEnd w:id="86"/>
      <w:bookmarkEnd w:id="87"/>
      <w:bookmarkEnd w:id="88"/>
      <w:bookmarkEnd w:id="89"/>
      <w:bookmarkEnd w:id="90"/>
      <w:bookmarkEnd w:id="91"/>
      <w:bookmarkEnd w:id="92"/>
    </w:p>
    <w:p>
      <w:pPr>
        <w:spacing w:line="576" w:lineRule="exact"/>
        <w:ind w:firstLine="642" w:firstLineChars="200"/>
        <w:rPr>
          <w:rFonts w:ascii="仿宋" w:hAnsi="仿宋" w:eastAsia="仿宋" w:cs="仿宋"/>
          <w:color w:val="000000"/>
          <w:sz w:val="32"/>
          <w:szCs w:val="32"/>
        </w:rPr>
      </w:pPr>
      <w:r>
        <w:rPr>
          <w:rFonts w:hint="eastAsia" w:ascii="仿宋" w:hAnsi="仿宋" w:eastAsia="仿宋" w:cs="仿宋"/>
          <w:b/>
          <w:bCs/>
          <w:color w:val="000000"/>
          <w:sz w:val="32"/>
          <w:szCs w:val="32"/>
        </w:rPr>
        <w:t>18.</w:t>
      </w:r>
      <w:r>
        <w:rPr>
          <w:rFonts w:hint="eastAsia" w:ascii="仿宋" w:hAnsi="仿宋" w:eastAsia="仿宋" w:cs="仿宋"/>
          <w:color w:val="000000"/>
          <w:sz w:val="32"/>
          <w:szCs w:val="32"/>
        </w:rPr>
        <w:t>基本支出：指为保障机构正常运转、完成日常工作任务而发生的人员支出和公用支出。</w:t>
      </w:r>
    </w:p>
    <w:p>
      <w:pPr>
        <w:spacing w:line="576" w:lineRule="exact"/>
        <w:ind w:firstLine="642" w:firstLineChars="200"/>
        <w:rPr>
          <w:rFonts w:ascii="仿宋" w:hAnsi="仿宋" w:eastAsia="仿宋" w:cs="仿宋"/>
          <w:color w:val="000000"/>
          <w:sz w:val="32"/>
          <w:szCs w:val="32"/>
        </w:rPr>
      </w:pPr>
      <w:r>
        <w:rPr>
          <w:rFonts w:hint="eastAsia" w:ascii="仿宋" w:hAnsi="仿宋" w:eastAsia="仿宋" w:cs="仿宋"/>
          <w:b/>
          <w:bCs/>
          <w:color w:val="000000"/>
          <w:sz w:val="32"/>
          <w:szCs w:val="32"/>
        </w:rPr>
        <w:t>19.</w:t>
      </w:r>
      <w:r>
        <w:rPr>
          <w:rFonts w:hint="eastAsia" w:ascii="仿宋" w:hAnsi="仿宋" w:eastAsia="仿宋" w:cs="仿宋"/>
          <w:color w:val="000000"/>
          <w:sz w:val="32"/>
          <w:szCs w:val="32"/>
        </w:rPr>
        <w:t>项目支出：指在基本支出之外为完成特定行政任务和事业发展目标所发生的支出。</w:t>
      </w:r>
    </w:p>
    <w:p>
      <w:pPr>
        <w:spacing w:line="576" w:lineRule="exact"/>
        <w:ind w:firstLine="642" w:firstLineChars="200"/>
        <w:rPr>
          <w:rFonts w:ascii="仿宋" w:hAnsi="仿宋" w:eastAsia="仿宋" w:cs="仿宋"/>
          <w:color w:val="000000"/>
          <w:sz w:val="32"/>
          <w:szCs w:val="32"/>
        </w:rPr>
      </w:pPr>
      <w:r>
        <w:rPr>
          <w:rFonts w:hint="eastAsia" w:ascii="仿宋" w:hAnsi="仿宋" w:eastAsia="仿宋" w:cs="仿宋"/>
          <w:b/>
          <w:bCs/>
          <w:color w:val="000000"/>
          <w:sz w:val="32"/>
          <w:szCs w:val="32"/>
        </w:rPr>
        <w:t>20.</w:t>
      </w:r>
      <w:r>
        <w:rPr>
          <w:rFonts w:hint="eastAsia" w:ascii="仿宋" w:hAnsi="仿宋" w:eastAsia="仿宋" w:cs="仿宋"/>
          <w:color w:val="000000"/>
          <w:sz w:val="32"/>
          <w:szCs w:val="32"/>
        </w:rPr>
        <w:t>经营支出：指事业单位在专业业务活动及其辅助活动之外开展非独立核算经营活动发生的支出。</w:t>
      </w:r>
    </w:p>
    <w:p>
      <w:pPr>
        <w:pStyle w:val="26"/>
        <w:spacing w:line="576" w:lineRule="exact"/>
        <w:ind w:firstLine="642" w:firstLineChars="200"/>
        <w:rPr>
          <w:rFonts w:hAnsi="仿宋"/>
          <w:sz w:val="32"/>
          <w:szCs w:val="32"/>
        </w:rPr>
      </w:pPr>
      <w:r>
        <w:rPr>
          <w:rFonts w:hint="eastAsia" w:hAnsi="仿宋"/>
          <w:b/>
          <w:bCs/>
          <w:sz w:val="32"/>
          <w:szCs w:val="32"/>
        </w:rPr>
        <w:t>21.</w:t>
      </w:r>
      <w:r>
        <w:rPr>
          <w:rFonts w:hint="eastAsia" w:hAnsi="仿宋"/>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76" w:lineRule="exact"/>
        <w:ind w:firstLine="642" w:firstLineChars="200"/>
        <w:rPr>
          <w:rFonts w:ascii="仿宋_GB2312" w:eastAsia="仿宋_GB2312"/>
          <w:sz w:val="32"/>
          <w:szCs w:val="32"/>
        </w:rPr>
      </w:pPr>
      <w:r>
        <w:rPr>
          <w:rFonts w:hint="eastAsia" w:hAnsi="仿宋"/>
          <w:b/>
          <w:bCs/>
          <w:sz w:val="32"/>
          <w:szCs w:val="32"/>
        </w:rPr>
        <w:t>22.</w:t>
      </w:r>
      <w:r>
        <w:rPr>
          <w:rFonts w:hint="eastAsia" w:hAnsi="仿宋"/>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pStyle w:val="5"/>
        <w:rPr>
          <w:rFonts w:hint="eastAsia" w:eastAsia="黑体"/>
          <w:sz w:val="44"/>
          <w:szCs w:val="44"/>
        </w:rPr>
      </w:pPr>
    </w:p>
    <w:p>
      <w:pPr>
        <w:rPr>
          <w:rFonts w:hint="eastAsia" w:eastAsia="黑体"/>
          <w:sz w:val="44"/>
          <w:szCs w:val="44"/>
        </w:rPr>
      </w:pPr>
    </w:p>
    <w:p>
      <w:pPr>
        <w:pStyle w:val="5"/>
        <w:rPr>
          <w:rFonts w:hint="eastAsia" w:eastAsia="黑体"/>
          <w:sz w:val="44"/>
          <w:szCs w:val="44"/>
        </w:rPr>
      </w:pPr>
    </w:p>
    <w:p>
      <w:pPr>
        <w:rPr>
          <w:rFonts w:hint="eastAsia" w:eastAsia="黑体"/>
          <w:sz w:val="44"/>
          <w:szCs w:val="44"/>
        </w:rPr>
      </w:pPr>
    </w:p>
    <w:p>
      <w:pPr>
        <w:pStyle w:val="5"/>
        <w:rPr>
          <w:rFonts w:hint="eastAsia" w:eastAsia="黑体"/>
          <w:sz w:val="44"/>
          <w:szCs w:val="44"/>
        </w:rPr>
      </w:pPr>
    </w:p>
    <w:p>
      <w:pPr>
        <w:pStyle w:val="5"/>
        <w:rPr>
          <w:rFonts w:hint="eastAsia"/>
        </w:rPr>
      </w:pPr>
    </w:p>
    <w:p>
      <w:pPr>
        <w:rPr>
          <w:rFonts w:hint="eastAsia" w:eastAsia="黑体"/>
          <w:sz w:val="44"/>
          <w:szCs w:val="44"/>
        </w:rPr>
      </w:pPr>
      <w:r>
        <w:rPr>
          <w:rFonts w:hint="eastAsia" w:eastAsia="黑体"/>
          <w:sz w:val="44"/>
          <w:szCs w:val="44"/>
        </w:rPr>
        <w:br w:type="page"/>
      </w:r>
    </w:p>
    <w:bookmarkEnd w:id="77"/>
    <w:bookmarkEnd w:id="78"/>
    <w:p>
      <w:pPr>
        <w:spacing w:line="600" w:lineRule="exact"/>
        <w:jc w:val="center"/>
        <w:outlineLvl w:val="0"/>
        <w:rPr>
          <w:rFonts w:eastAsia="黑体" w:cs="黑体"/>
          <w:color w:val="FF0000"/>
          <w:sz w:val="32"/>
          <w:szCs w:val="32"/>
        </w:rPr>
      </w:pPr>
      <w:bookmarkStart w:id="93" w:name="_Toc1379004971"/>
      <w:r>
        <w:rPr>
          <w:rFonts w:hint="eastAsia" w:eastAsia="黑体"/>
          <w:sz w:val="44"/>
          <w:szCs w:val="44"/>
        </w:rPr>
        <w:t>第四部分 附件</w:t>
      </w:r>
      <w:bookmarkEnd w:id="93"/>
    </w:p>
    <w:p>
      <w:pPr>
        <w:spacing w:line="572" w:lineRule="exact"/>
        <w:jc w:val="left"/>
        <w:outlineLvl w:val="9"/>
        <w:rPr>
          <w:rFonts w:hint="eastAsia" w:eastAsia="黑体" w:cs="黑体"/>
          <w:sz w:val="32"/>
          <w:szCs w:val="32"/>
        </w:rPr>
      </w:pPr>
      <w:r>
        <w:rPr>
          <w:rFonts w:hint="eastAsia" w:eastAsia="黑体" w:cs="黑体"/>
          <w:sz w:val="32"/>
          <w:szCs w:val="32"/>
        </w:rPr>
        <w:t>附件1</w:t>
      </w:r>
    </w:p>
    <w:p>
      <w:pPr>
        <w:pStyle w:val="19"/>
      </w:pPr>
    </w:p>
    <w:p>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仿宋_GB2312" w:cs="Times New Roman"/>
          <w:sz w:val="32"/>
          <w:szCs w:val="32"/>
          <w:highlight w:val="none"/>
          <w:shd w:val="clear" w:color="auto" w:fill="FFFFFF"/>
          <w:lang w:eastAsia="zh-CN"/>
        </w:rPr>
      </w:pPr>
      <w:r>
        <w:rPr>
          <w:rFonts w:hint="eastAsia" w:ascii="Times New Roman" w:hAnsi="Times New Roman" w:eastAsia="仿宋_GB2312" w:cs="Times New Roman"/>
          <w:sz w:val="32"/>
          <w:szCs w:val="32"/>
          <w:highlight w:val="none"/>
          <w:shd w:val="clear" w:color="auto" w:fill="FFFFFF"/>
          <w:lang w:eastAsia="zh-CN"/>
        </w:rPr>
        <w:t>（含阿坝州妇女儿童中心）</w:t>
      </w:r>
    </w:p>
    <w:p>
      <w:pPr>
        <w:pStyle w:val="19"/>
        <w:rPr>
          <w:rFonts w:hint="eastAsia"/>
          <w:lang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color w:val="000000"/>
          <w:kern w:val="0"/>
          <w:sz w:val="32"/>
          <w:szCs w:val="32"/>
          <w:highlight w:val="none"/>
          <w:shd w:val="clear" w:color="auto" w:fill="FFFFFF"/>
          <w:lang w:val="zh-CN"/>
        </w:rPr>
        <w:t>一、部门基本情况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p>
    <w:p>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阿坝州妇联属一级预算单位，我会设一室三部，即办公室、家儿</w:t>
      </w:r>
      <w:r>
        <w:rPr>
          <w:rFonts w:hint="eastAsia" w:eastAsia="仿宋_GB2312" w:cs="Times New Roman"/>
          <w:sz w:val="32"/>
          <w:szCs w:val="32"/>
          <w:lang w:val="en-US" w:eastAsia="zh-CN"/>
        </w:rPr>
        <w:t>维权</w:t>
      </w:r>
      <w:r>
        <w:rPr>
          <w:rFonts w:hint="default" w:ascii="Times New Roman" w:hAnsi="Times New Roman" w:eastAsia="仿宋_GB2312" w:cs="Times New Roman"/>
          <w:sz w:val="32"/>
          <w:szCs w:val="32"/>
          <w:lang w:val="en-US" w:eastAsia="zh-CN"/>
        </w:rPr>
        <w:t>部、组织宣传部、发展联络部。州政府妇儿</w:t>
      </w:r>
      <w:r>
        <w:rPr>
          <w:rFonts w:hint="eastAsia" w:ascii="Times New Roman" w:hAnsi="Times New Roman" w:eastAsia="仿宋_GB2312" w:cs="Times New Roman"/>
          <w:sz w:val="32"/>
          <w:szCs w:val="32"/>
          <w:lang w:val="en-US" w:eastAsia="zh-CN"/>
        </w:rPr>
        <w:t>部门协调机制</w:t>
      </w:r>
      <w:r>
        <w:rPr>
          <w:rFonts w:hint="default" w:ascii="Times New Roman" w:hAnsi="Times New Roman" w:eastAsia="仿宋_GB2312" w:cs="Times New Roman"/>
          <w:sz w:val="32"/>
          <w:szCs w:val="32"/>
          <w:lang w:val="en-US" w:eastAsia="zh-CN"/>
        </w:rPr>
        <w:t>设在我会。</w:t>
      </w:r>
    </w:p>
    <w:p>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2025年我会新增下属事业单位阿坝州妇女儿童中心。</w:t>
      </w:r>
    </w:p>
    <w:p>
      <w:pPr>
        <w:keepNext w:val="0"/>
        <w:keepLines w:val="0"/>
        <w:pageBreakBefore w:val="0"/>
        <w:widowControl/>
        <w:numPr>
          <w:ilvl w:val="0"/>
          <w:numId w:val="2"/>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机构职能</w:t>
      </w:r>
    </w:p>
    <w:p>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bookmarkStart w:id="94" w:name="OLE_LINK4"/>
      <w:r>
        <w:rPr>
          <w:rFonts w:hint="default" w:ascii="Times New Roman" w:hAnsi="Times New Roman" w:eastAsia="仿宋_GB2312" w:cs="Times New Roman"/>
          <w:sz w:val="32"/>
          <w:szCs w:val="32"/>
          <w:lang w:val="en-US" w:eastAsia="zh-CN"/>
        </w:rPr>
        <w:t>1.坚持正确的政治方向，团结、教育全州各族各界妇女在思想上、行动上同党中央保持高度一致。</w:t>
      </w:r>
    </w:p>
    <w:p>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bookmarkStart w:id="95" w:name="OLE_LINK3"/>
      <w:r>
        <w:rPr>
          <w:rFonts w:hint="default" w:ascii="Times New Roman" w:hAnsi="Times New Roman" w:eastAsia="仿宋_GB2312" w:cs="Times New Roman"/>
          <w:sz w:val="32"/>
          <w:szCs w:val="32"/>
          <w:lang w:val="en-US" w:eastAsia="zh-CN"/>
        </w:rPr>
        <w:t>宣传马克思主义妇女观和男女平等基本国策，教育、引导妇女树立正确的世界观、人生观、价值观、弘扬“自尊、自信、自立、自强”精神，积极开展对妇女的科技文化及生产劳动技能教育培训，全面提高妇女素质。</w:t>
      </w:r>
    </w:p>
    <w:bookmarkEnd w:id="95"/>
    <w:p>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3.代表妇女参与国家和社会事务的民主管理和民主监督；关注并加强研究涉及妇女切身利益的热点、难点问题，及时向州委、州政府反映社情民意，提出对策建议；依法维护妇女儿童的合法权益。</w:t>
      </w:r>
    </w:p>
    <w:p>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4.坚持为妇女儿童服务、为基层服务，加强与社会各界的联系，协调推动全社会为妇女儿童办实事，办好事。</w:t>
      </w:r>
    </w:p>
    <w:p>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5.指导县妇联依据《中华全国妇女联合会章程》和州妇女代表大会的任务，开展妇女儿童工作；联系团体会员并给予工作指导；巩固和扩大各族各界妇女的大团结，促进我州民族团结，社会稳定。</w:t>
      </w:r>
    </w:p>
    <w:p>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仿宋_GB2312" w:cs="Times New Roman"/>
          <w:sz w:val="32"/>
          <w:szCs w:val="32"/>
          <w:lang w:val="en-US" w:eastAsia="zh-CN"/>
        </w:rPr>
        <w:t>6.承办州政府妇女儿童工作委员会办公室的工作。</w:t>
      </w:r>
    </w:p>
    <w:bookmarkEnd w:id="94"/>
    <w:p>
      <w:pPr>
        <w:keepNext w:val="0"/>
        <w:keepLines w:val="0"/>
        <w:pageBreakBefore w:val="0"/>
        <w:kinsoku/>
        <w:wordWrap/>
        <w:overflowPunct/>
        <w:topLinePunct w:val="0"/>
        <w:autoSpaceDE/>
        <w:autoSpaceDN/>
        <w:bidi w:val="0"/>
        <w:spacing w:line="540" w:lineRule="exact"/>
        <w:ind w:firstLine="642"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default" w:ascii="Times New Roman" w:hAnsi="Times New Roman" w:eastAsia="仿宋_GB2312" w:cs="Times New Roman"/>
          <w:sz w:val="32"/>
          <w:szCs w:val="32"/>
        </w:rPr>
        <w:t>截至</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年末，</w:t>
      </w:r>
      <w:r>
        <w:rPr>
          <w:rFonts w:hint="eastAsia" w:ascii="仿宋" w:hAnsi="仿宋" w:eastAsia="仿宋" w:cs="仿宋"/>
          <w:sz w:val="32"/>
          <w:szCs w:val="32"/>
        </w:rPr>
        <w:t>我会总编制14名，其中：行政编制11名，工勤人员3名。在职人员总数</w:t>
      </w:r>
      <w:r>
        <w:rPr>
          <w:rFonts w:hint="eastAsia" w:ascii="仿宋" w:hAnsi="仿宋" w:eastAsia="仿宋" w:cs="仿宋"/>
          <w:sz w:val="32"/>
          <w:szCs w:val="32"/>
          <w:lang w:val="en-US" w:eastAsia="zh-CN"/>
        </w:rPr>
        <w:t>13</w:t>
      </w:r>
      <w:r>
        <w:rPr>
          <w:rFonts w:hint="eastAsia" w:ascii="仿宋" w:hAnsi="仿宋" w:eastAsia="仿宋" w:cs="仿宋"/>
          <w:sz w:val="32"/>
          <w:szCs w:val="32"/>
        </w:rPr>
        <w:t>名，其中：行政人员</w:t>
      </w:r>
      <w:r>
        <w:rPr>
          <w:rFonts w:hint="eastAsia" w:ascii="仿宋" w:hAnsi="仿宋" w:eastAsia="仿宋" w:cs="仿宋"/>
          <w:sz w:val="32"/>
          <w:szCs w:val="32"/>
          <w:lang w:val="en-US" w:eastAsia="zh-CN"/>
        </w:rPr>
        <w:t>10</w:t>
      </w:r>
      <w:r>
        <w:rPr>
          <w:rFonts w:hint="eastAsia" w:ascii="仿宋" w:hAnsi="仿宋" w:eastAsia="仿宋" w:cs="仿宋"/>
          <w:sz w:val="32"/>
          <w:szCs w:val="32"/>
        </w:rPr>
        <w:t>名，工勤人员3名</w:t>
      </w:r>
      <w:r>
        <w:rPr>
          <w:rFonts w:hint="eastAsia" w:ascii="仿宋" w:hAnsi="仿宋" w:eastAsia="仿宋" w:cs="仿宋"/>
          <w:sz w:val="32"/>
          <w:szCs w:val="32"/>
          <w:lang w:val="en-US" w:eastAsia="zh-CN"/>
        </w:rPr>
        <w:t>；</w:t>
      </w:r>
      <w:r>
        <w:rPr>
          <w:rFonts w:hint="eastAsia" w:ascii="仿宋" w:hAnsi="仿宋" w:eastAsia="仿宋" w:cs="仿宋"/>
          <w:sz w:val="32"/>
          <w:szCs w:val="32"/>
        </w:rPr>
        <w:t>退休人员</w:t>
      </w:r>
      <w:r>
        <w:rPr>
          <w:rFonts w:hint="eastAsia" w:ascii="仿宋" w:hAnsi="仿宋" w:eastAsia="仿宋" w:cs="仿宋"/>
          <w:sz w:val="32"/>
          <w:szCs w:val="32"/>
          <w:lang w:val="en-US" w:eastAsia="zh-CN"/>
        </w:rPr>
        <w:t>6</w:t>
      </w:r>
      <w:r>
        <w:rPr>
          <w:rFonts w:hint="eastAsia" w:ascii="仿宋" w:hAnsi="仿宋" w:eastAsia="仿宋" w:cs="仿宋"/>
          <w:sz w:val="32"/>
          <w:szCs w:val="32"/>
        </w:rPr>
        <w:t>人。</w:t>
      </w:r>
      <w:r>
        <w:rPr>
          <w:rFonts w:hint="eastAsia" w:ascii="仿宋" w:hAnsi="仿宋" w:eastAsia="仿宋" w:cs="仿宋"/>
          <w:sz w:val="32"/>
          <w:szCs w:val="32"/>
          <w:lang w:val="en-US" w:eastAsia="zh-CN"/>
        </w:rPr>
        <w:t>阿坝州妇女儿童中心总编制5名，其中事业编5名。在职人员总数2名。</w:t>
      </w:r>
    </w:p>
    <w:p>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40" w:lineRule="exact"/>
        <w:ind w:firstLine="642" w:firstLineChars="200"/>
        <w:contextualSpacing/>
        <w:jc w:val="left"/>
        <w:textAlignment w:val="auto"/>
        <w:rPr>
          <w:rFonts w:eastAsia="仿宋_GB2312"/>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eastAsia" w:eastAsia="仿宋_GB2312" w:cs="Times New Roman"/>
          <w:sz w:val="32"/>
          <w:szCs w:val="32"/>
          <w:lang w:val="en-US" w:eastAsia="zh-CN"/>
        </w:rPr>
        <w:t>我会2025</w:t>
      </w:r>
      <w:r>
        <w:rPr>
          <w:rFonts w:hint="default" w:ascii="Times New Roman" w:hAnsi="Times New Roman" w:eastAsia="仿宋_GB2312" w:cs="Times New Roman"/>
          <w:sz w:val="32"/>
          <w:szCs w:val="32"/>
          <w:lang w:val="en-US" w:eastAsia="zh-CN"/>
        </w:rPr>
        <w:t>年</w:t>
      </w:r>
      <w:r>
        <w:rPr>
          <w:rFonts w:hint="eastAsia" w:eastAsia="仿宋_GB2312"/>
          <w:sz w:val="32"/>
          <w:szCs w:val="32"/>
        </w:rPr>
        <w:t>部门年初预算收入数为</w:t>
      </w:r>
      <w:r>
        <w:rPr>
          <w:rFonts w:hint="eastAsia" w:eastAsia="仿宋_GB2312"/>
          <w:sz w:val="32"/>
          <w:szCs w:val="32"/>
          <w:lang w:val="en-US" w:eastAsia="zh-CN"/>
        </w:rPr>
        <w:t>604.37</w:t>
      </w:r>
      <w:r>
        <w:rPr>
          <w:rFonts w:hint="eastAsia" w:eastAsia="仿宋_GB2312"/>
          <w:sz w:val="32"/>
          <w:szCs w:val="32"/>
        </w:rPr>
        <w:t>万元，其中一般公共预算财政拨款收入为</w:t>
      </w:r>
      <w:r>
        <w:rPr>
          <w:rFonts w:hint="eastAsia" w:eastAsia="仿宋_GB2312"/>
          <w:sz w:val="32"/>
          <w:szCs w:val="32"/>
          <w:lang w:val="en-US" w:eastAsia="zh-CN"/>
        </w:rPr>
        <w:t>604.37</w:t>
      </w:r>
      <w:r>
        <w:rPr>
          <w:rFonts w:hint="eastAsia" w:eastAsia="仿宋_GB2312"/>
          <w:sz w:val="32"/>
          <w:szCs w:val="32"/>
        </w:rPr>
        <w:t>万元。收入全年预算数为</w:t>
      </w:r>
      <w:r>
        <w:rPr>
          <w:rFonts w:hint="eastAsia" w:eastAsia="仿宋_GB2312"/>
          <w:sz w:val="32"/>
          <w:szCs w:val="32"/>
          <w:lang w:val="en-US" w:eastAsia="zh-CN"/>
        </w:rPr>
        <w:t>920.69</w:t>
      </w:r>
      <w:r>
        <w:rPr>
          <w:rFonts w:hint="eastAsia" w:eastAsia="仿宋_GB2312"/>
          <w:sz w:val="32"/>
          <w:szCs w:val="32"/>
        </w:rPr>
        <w:t>万元，其中一般公共预算财政拨款收入为</w:t>
      </w:r>
      <w:r>
        <w:rPr>
          <w:rFonts w:hint="eastAsia" w:eastAsia="仿宋_GB2312"/>
          <w:sz w:val="32"/>
          <w:szCs w:val="32"/>
          <w:lang w:val="en-US" w:eastAsia="zh-CN"/>
        </w:rPr>
        <w:t>920.69</w:t>
      </w:r>
      <w:r>
        <w:rPr>
          <w:rFonts w:hint="eastAsia" w:eastAsia="仿宋_GB2312"/>
          <w:sz w:val="32"/>
          <w:szCs w:val="32"/>
        </w:rPr>
        <w:t>万元，</w:t>
      </w:r>
      <w:r>
        <w:rPr>
          <w:rFonts w:hint="eastAsia" w:eastAsia="仿宋_GB2312" w:cs="Times New Roman"/>
          <w:sz w:val="32"/>
          <w:szCs w:val="32"/>
          <w:lang w:val="en-US" w:eastAsia="zh-CN"/>
        </w:rPr>
        <w:t>2025</w:t>
      </w:r>
      <w:r>
        <w:rPr>
          <w:rFonts w:hint="eastAsia" w:eastAsia="仿宋_GB2312"/>
          <w:sz w:val="32"/>
          <w:szCs w:val="32"/>
        </w:rPr>
        <w:t>年度部门决算收入</w:t>
      </w:r>
      <w:r>
        <w:rPr>
          <w:rFonts w:hint="eastAsia" w:eastAsia="仿宋_GB2312"/>
          <w:sz w:val="32"/>
          <w:szCs w:val="32"/>
          <w:lang w:val="en-US" w:eastAsia="zh-CN"/>
        </w:rPr>
        <w:t>920.69</w:t>
      </w:r>
      <w:r>
        <w:rPr>
          <w:rFonts w:hint="eastAsia" w:eastAsia="仿宋_GB2312"/>
          <w:sz w:val="32"/>
          <w:szCs w:val="32"/>
        </w:rPr>
        <w:t>万元。</w:t>
      </w:r>
    </w:p>
    <w:p>
      <w:pPr>
        <w:keepNext w:val="0"/>
        <w:keepLines w:val="0"/>
        <w:pageBreakBefore w:val="0"/>
        <w:widowControl/>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（二）支出情况。</w:t>
      </w:r>
      <w:r>
        <w:rPr>
          <w:rFonts w:hint="eastAsia" w:eastAsia="仿宋_GB2312" w:cs="Times New Roman"/>
          <w:sz w:val="32"/>
          <w:szCs w:val="32"/>
          <w:lang w:val="en-US" w:eastAsia="zh-CN"/>
        </w:rPr>
        <w:t>我会2025</w:t>
      </w:r>
      <w:r>
        <w:rPr>
          <w:rFonts w:hint="default" w:ascii="Times New Roman" w:hAnsi="Times New Roman" w:eastAsia="仿宋_GB2312" w:cs="Times New Roman"/>
          <w:sz w:val="32"/>
          <w:szCs w:val="32"/>
          <w:lang w:val="en-US" w:eastAsia="zh-CN"/>
        </w:rPr>
        <w:t>年年初预算支出</w:t>
      </w:r>
      <w:r>
        <w:rPr>
          <w:rFonts w:hint="eastAsia" w:eastAsia="仿宋_GB2312"/>
          <w:sz w:val="32"/>
          <w:szCs w:val="32"/>
          <w:lang w:val="en-US" w:eastAsia="zh-CN"/>
        </w:rPr>
        <w:t>604.37万元，</w:t>
      </w:r>
      <w:r>
        <w:rPr>
          <w:rFonts w:hint="default" w:ascii="Times New Roman" w:hAnsi="Times New Roman" w:eastAsia="仿宋_GB2312" w:cs="Times New Roman"/>
          <w:sz w:val="32"/>
          <w:szCs w:val="32"/>
          <w:lang w:val="en-US" w:eastAsia="zh-CN"/>
        </w:rPr>
        <w:t>决算报表支出</w:t>
      </w:r>
      <w:r>
        <w:rPr>
          <w:rFonts w:hint="eastAsia" w:eastAsia="仿宋_GB2312"/>
          <w:sz w:val="32"/>
          <w:szCs w:val="32"/>
          <w:lang w:val="en-US" w:eastAsia="zh-CN"/>
        </w:rPr>
        <w:t>920.69</w:t>
      </w:r>
      <w:r>
        <w:rPr>
          <w:rFonts w:hint="eastAsia" w:eastAsia="仿宋_GB2312"/>
          <w:sz w:val="32"/>
          <w:szCs w:val="32"/>
        </w:rPr>
        <w:t>万元</w:t>
      </w:r>
      <w:r>
        <w:rPr>
          <w:rFonts w:hint="eastAsia" w:eastAsia="仿宋_GB2312" w:cs="Times New Roman"/>
          <w:sz w:val="32"/>
          <w:szCs w:val="32"/>
          <w:lang w:val="en-US" w:eastAsia="zh-CN"/>
        </w:rPr>
        <w:t>，其中：基本支出中人员经费支出为452.71万元，公用经费支出64.51万元。项目支出为403.47万元，其中基本建设类项目支出为0.00万元，州级项目年初预算项目126万元，全年项目支出379.57万元，省级项目支出23.90万元。</w:t>
      </w:r>
    </w:p>
    <w:p>
      <w:pPr>
        <w:keepNext w:val="0"/>
        <w:keepLines w:val="0"/>
        <w:pageBreakBefore w:val="0"/>
        <w:widowControl/>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sz w:val="32"/>
          <w:szCs w:val="32"/>
        </w:rPr>
        <w:t>结余分配和结转结余情况</w:t>
      </w:r>
      <w:r>
        <w:rPr>
          <w:rFonts w:hint="default" w:ascii="Times New Roman" w:hAnsi="Times New Roman" w:eastAsia="楷体_GB2312" w:cs="Times New Roman"/>
          <w:b/>
          <w:sz w:val="32"/>
          <w:szCs w:val="32"/>
          <w:lang w:eastAsia="zh-CN"/>
        </w:rPr>
        <w:t>。</w:t>
      </w:r>
      <w:r>
        <w:rPr>
          <w:rFonts w:hint="eastAsia" w:ascii="Times New Roman" w:hAnsi="Times New Roman" w:eastAsia="仿宋_GB2312" w:cs="Times New Roman"/>
          <w:sz w:val="32"/>
          <w:szCs w:val="32"/>
          <w:lang w:val="en-US" w:eastAsia="zh-CN"/>
        </w:rPr>
        <w:t>我会</w:t>
      </w:r>
      <w:r>
        <w:rPr>
          <w:rFonts w:hint="eastAsia"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年决算报表</w:t>
      </w:r>
      <w:r>
        <w:rPr>
          <w:rFonts w:hint="eastAsia" w:eastAsia="仿宋_GB2312" w:cs="Times New Roman"/>
          <w:sz w:val="32"/>
          <w:szCs w:val="32"/>
          <w:lang w:val="en-US" w:eastAsia="zh-CN"/>
        </w:rPr>
        <w:t>无</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结转结余情况。</w:t>
      </w:r>
    </w:p>
    <w:p>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40" w:lineRule="exact"/>
        <w:ind w:firstLine="642" w:firstLineChars="200"/>
        <w:contextualSpacing/>
        <w:jc w:val="left"/>
        <w:textAlignment w:val="auto"/>
        <w:outlineLvl w:val="9"/>
        <w:rPr>
          <w:rFonts w:hint="eastAsia" w:ascii="Times New Roman" w:hAnsi="Times New Roman" w:eastAsia="仿宋_GB2312" w:cs="Times New Roman"/>
          <w:color w:val="auto"/>
          <w:kern w:val="0"/>
          <w:sz w:val="32"/>
          <w:szCs w:val="32"/>
          <w:highlight w:val="none"/>
          <w:shd w:val="clear" w:color="auto" w:fill="FFFFFF"/>
          <w:lang w:val="en-US" w:eastAsia="zh-CN"/>
        </w:rPr>
      </w:pPr>
      <w:r>
        <w:rPr>
          <w:rFonts w:hint="eastAsia" w:ascii="Times New Roman" w:hAnsi="Times New Roman" w:eastAsia="仿宋_GB2312" w:cs="Times New Roman"/>
          <w:b/>
          <w:bCs/>
          <w:color w:val="auto"/>
          <w:kern w:val="0"/>
          <w:sz w:val="32"/>
          <w:szCs w:val="32"/>
          <w:highlight w:val="none"/>
          <w:shd w:val="clear" w:color="auto" w:fill="FFFFFF"/>
          <w:lang w:val="en-US" w:eastAsia="zh-CN"/>
        </w:rPr>
        <w:t>1.履职效能（15分）</w:t>
      </w:r>
      <w:r>
        <w:rPr>
          <w:rFonts w:hint="eastAsia" w:ascii="Times New Roman" w:hAnsi="Times New Roman" w:eastAsia="仿宋_GB2312" w:cs="Times New Roman"/>
          <w:color w:val="auto"/>
          <w:kern w:val="0"/>
          <w:sz w:val="32"/>
          <w:szCs w:val="32"/>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bookmarkStart w:id="96" w:name="OLE_LINK5"/>
      <w:r>
        <w:rPr>
          <w:rFonts w:hint="eastAsia" w:eastAsia="仿宋_GB2312" w:cs="Times New Roman"/>
          <w:b/>
          <w:bCs/>
          <w:color w:val="000000"/>
          <w:kern w:val="0"/>
          <w:sz w:val="32"/>
          <w:szCs w:val="32"/>
          <w:highlight w:val="none"/>
          <w:shd w:val="clear" w:color="auto" w:fill="FFFFFF"/>
          <w:lang w:val="en-US" w:eastAsia="zh-CN"/>
        </w:rPr>
        <w:t>强化思想政治引领，凝聚妇女人心。</w:t>
      </w:r>
      <w:r>
        <w:rPr>
          <w:rFonts w:hint="eastAsia" w:eastAsia="仿宋_GB2312" w:cs="Times New Roman"/>
          <w:color w:val="000000"/>
          <w:kern w:val="0"/>
          <w:sz w:val="32"/>
          <w:szCs w:val="32"/>
          <w:highlight w:val="none"/>
          <w:shd w:val="clear" w:color="auto" w:fill="FFFFFF"/>
          <w:lang w:val="en-US" w:eastAsia="zh-CN"/>
        </w:rPr>
        <w:t>持续深化“跟党奋进新征程·巾帼建功新时代”系列活动，组织学习党的二十大精神、习近平总书记关于妇联工作和妇女儿童工作的重要论述精神、全球妇女峰会精神，覆盖妇联干部执委5000余人次，凝聚奋进力量；推选表彰全国三八红旗手、集体各1名，发挥榜样示范作用；开展“送荣誉到基层”等主题纪念活动100余场，建设三八红旗手（集体）工作室2个、巾帼志愿阳光站3个，开设“爱润阿坝·爱心爸妈”“微普法”等专栏，推送各类优秀案例300余篇，宣传典型130余人，建强意识形态工作阵地，掌握主动权话语权；牵头组织“爱润阿坝”阿坝州群众工作“石榴籽”工程宣传交流活动，诠释干部群众血脉相连深情，传递“籽籽同心”强大信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r>
        <w:rPr>
          <w:rFonts w:hint="eastAsia" w:eastAsia="仿宋_GB2312" w:cs="Times New Roman"/>
          <w:b/>
          <w:bCs/>
          <w:color w:val="000000"/>
          <w:kern w:val="0"/>
          <w:sz w:val="32"/>
          <w:szCs w:val="32"/>
          <w:highlight w:val="none"/>
          <w:shd w:val="clear" w:color="auto" w:fill="FFFFFF"/>
          <w:lang w:val="en-US" w:eastAsia="zh-CN"/>
        </w:rPr>
        <w:t>服务经济社会发展，激励巾帼建功。</w:t>
      </w:r>
      <w:r>
        <w:rPr>
          <w:rFonts w:hint="eastAsia" w:eastAsia="仿宋_GB2312" w:cs="Times New Roman"/>
          <w:color w:val="000000"/>
          <w:kern w:val="0"/>
          <w:sz w:val="32"/>
          <w:szCs w:val="32"/>
          <w:highlight w:val="none"/>
          <w:shd w:val="clear" w:color="auto" w:fill="FFFFFF"/>
          <w:lang w:val="en-US" w:eastAsia="zh-CN"/>
        </w:rPr>
        <w:t>紧扣省妇联关爱妇女儿童十项实事工作要求，投入资金254.2万元，为全州4483名困境单亲母亲投保女性安康疾病保险，并发放价值400元关爱帮扶“暖心包”；按照3000元/人标准，对100名患重特大疾病的低收入妇女实施专项救助。争取资金160万元，实施“浙爱暖心行囊”项目，为困境儿童购置发放衣物、学习用品、卫生健康用品等“暧心行囊”4105份。持续深化“健康母亲·中国行动”，联动中国妇基会救助困境“两癌”患者20名。落实资金100万元，建成2025年州级妇女居家灵活就业示范基地14个，持续壮大妇女产业，建强“净土巧手·阿坝女红”品牌，促进妇女增收。积极开展“美丽庭院”建设，申报美丽“她地图”38个；组织开展“净土阿妹”巾帼家政标准化培训，培训“巾帼致富带头人”58名，达成就业意愿16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r>
        <w:rPr>
          <w:rFonts w:hint="eastAsia" w:eastAsia="仿宋_GB2312" w:cs="Times New Roman"/>
          <w:b/>
          <w:bCs/>
          <w:color w:val="000000"/>
          <w:kern w:val="0"/>
          <w:sz w:val="32"/>
          <w:szCs w:val="32"/>
          <w:highlight w:val="none"/>
          <w:shd w:val="clear" w:color="auto" w:fill="FFFFFF"/>
          <w:lang w:val="en-US" w:eastAsia="zh-CN"/>
        </w:rPr>
        <w:t>推动“两纲”落地落实，促进男女平等。</w:t>
      </w:r>
      <w:r>
        <w:rPr>
          <w:rFonts w:hint="eastAsia" w:eastAsia="仿宋_GB2312" w:cs="Times New Roman"/>
          <w:color w:val="000000"/>
          <w:kern w:val="0"/>
          <w:sz w:val="32"/>
          <w:szCs w:val="32"/>
          <w:highlight w:val="none"/>
          <w:shd w:val="clear" w:color="auto" w:fill="FFFFFF"/>
          <w:lang w:val="en-US" w:eastAsia="zh-CN"/>
        </w:rPr>
        <w:t>建立“阿坝州政府妇女儿童工作部门配合协调机制”，制定《协调机制职责》《议事规则（暂行）》等工作制度3项，形成“党委领导、政府主责、部门协调机制协调、各部门合作、全社会参与”工作格局；持续开展男女平等基本国策“五进”活动，定期组织妇联干部和妇女儿童工作者深入机关、学校、企业、村（社区）、家庭宣讲党的妇女儿童工作方针，推动男女平等基本国策及儿童优先原则深入人心；牵头组织对全州13县（市）、40个州级成员单位“两纲”指标达标情况进行全覆盖督查，发现反馈问题，提出整改意见，推动问题及时整改清零，为高质量迎接国、省中期评估做实保障支撑，相关工作受到省妇联肯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r>
        <w:rPr>
          <w:rFonts w:hint="eastAsia" w:eastAsia="仿宋_GB2312" w:cs="Times New Roman"/>
          <w:b/>
          <w:bCs/>
          <w:color w:val="000000"/>
          <w:kern w:val="0"/>
          <w:sz w:val="32"/>
          <w:szCs w:val="32"/>
          <w:highlight w:val="none"/>
          <w:shd w:val="clear" w:color="auto" w:fill="FFFFFF"/>
          <w:lang w:val="en-US" w:eastAsia="zh-CN"/>
        </w:rPr>
        <w:t>维护妇儿合法权益，关爱特殊群体。</w:t>
      </w:r>
      <w:r>
        <w:rPr>
          <w:rFonts w:hint="eastAsia" w:eastAsia="仿宋_GB2312" w:cs="Times New Roman"/>
          <w:color w:val="000000"/>
          <w:kern w:val="0"/>
          <w:sz w:val="32"/>
          <w:szCs w:val="32"/>
          <w:highlight w:val="none"/>
          <w:shd w:val="clear" w:color="auto" w:fill="FFFFFF"/>
          <w:lang w:val="en-US" w:eastAsia="zh-CN"/>
        </w:rPr>
        <w:t>常态化组织开展普法讲座、普法宣讲等活动等310余场次，覆盖群众11.3万余人；排查婚姻家庭矛盾纠纷56次，依法化解矛盾纠纷12个，处置信访维权案件16起；持续深化救助困难妇女儿童项目，落实“格桑花开”涉藏地区妇女地位平等各项举措，购置发放觉姆暖心包873个，困难妇女儿童“关爱包”500个，扎实开展走访慰问、思想引领、赋能培训等50余场次，覆盖困难妇女儿童近3万人。提点扩面落实“石榴籽”工程爱心爸妈行动，制定《群众工作“石榴籽”工程爱心爸妈行动方案》，精准识别“五类”困境儿童少年8013名，择优遴选“爱心爸妈”10355名（含42名厅级及以上领导），建设爱心驿站51个，设立专项基金147万余元，入户走访困境儿童少年6.3万人次，开展亲子互动等集体陪伴活动1347场次，量身制定学习计划、人生规划7600余份，赠予各类款物折合1100余万元，为困境儿童少年托起“稳稳的幸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r>
        <w:rPr>
          <w:rFonts w:hint="eastAsia" w:eastAsia="仿宋_GB2312" w:cs="Times New Roman"/>
          <w:b/>
          <w:bCs/>
          <w:color w:val="000000"/>
          <w:kern w:val="0"/>
          <w:sz w:val="32"/>
          <w:szCs w:val="32"/>
          <w:highlight w:val="none"/>
          <w:shd w:val="clear" w:color="auto" w:fill="FFFFFF"/>
          <w:lang w:val="en-US" w:eastAsia="zh-CN"/>
        </w:rPr>
        <w:t>抓细家庭家教工作，夯实和谐根基。</w:t>
      </w:r>
      <w:r>
        <w:rPr>
          <w:rFonts w:hint="eastAsia" w:eastAsia="仿宋_GB2312" w:cs="Times New Roman"/>
          <w:color w:val="000000"/>
          <w:kern w:val="0"/>
          <w:sz w:val="32"/>
          <w:szCs w:val="32"/>
          <w:highlight w:val="none"/>
          <w:shd w:val="clear" w:color="auto" w:fill="FFFFFF"/>
          <w:lang w:val="en-US" w:eastAsia="zh-CN"/>
        </w:rPr>
        <w:t>成功推荐省级“最美家庭”8户，评选州级“最美家庭”43户，树立可学可做的身边榜样，激励广大家庭践行美德、传承家风；积极争取投入资金81.5万元，接续实施“阳光驿站”、“科学家教巡讲”、“爱心爸妈赋能”等系列儿童关爱服务项目，为儿童健康成长提供支持；主办承办各类家风家教主题巡讲、巡展活动300场次，组织困境儿童少年开展研学实践、亲子陪伴、暑期托管等集体关爱活动75场，覆盖儿童家长5.6万人次；联合州文明办、教育局印发《2025年家风家教主题宣传活动实施方案》，推送优秀家书8封，以文润心、以情动人，持续夯实家庭文明建设根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r>
        <w:rPr>
          <w:rFonts w:hint="eastAsia" w:eastAsia="仿宋_GB2312" w:cs="Times New Roman"/>
          <w:b/>
          <w:bCs/>
          <w:color w:val="000000"/>
          <w:kern w:val="0"/>
          <w:sz w:val="32"/>
          <w:szCs w:val="32"/>
          <w:highlight w:val="none"/>
          <w:shd w:val="clear" w:color="auto" w:fill="FFFFFF"/>
          <w:lang w:val="en-US" w:eastAsia="zh-CN"/>
        </w:rPr>
        <w:t>深化妇联组织建设，提高服务能力。</w:t>
      </w:r>
      <w:r>
        <w:rPr>
          <w:rFonts w:hint="eastAsia" w:eastAsia="仿宋_GB2312" w:cs="Times New Roman"/>
          <w:color w:val="000000"/>
          <w:kern w:val="0"/>
          <w:sz w:val="32"/>
          <w:szCs w:val="32"/>
          <w:highlight w:val="none"/>
          <w:shd w:val="clear" w:color="auto" w:fill="FFFFFF"/>
          <w:lang w:val="en-US" w:eastAsia="zh-CN"/>
        </w:rPr>
        <w:t>按规定开展“四不”问题专项整治，每月组织“讲业务、赛能力”活动；积极开展深入贯彻中央八项规定精神学习教育，组织开展各级各类学习研讨21次，刀刃向内查摆问题16条，深化开展违规饮酒专项整治4次，对标对表新时代妇联干部要求，严格落实党的组织纪律要求，招考（遴选、调入）事业干部5名。围绕“组织建设提升年”要求，扎实推进组织建设与覆盖提升，专题部署“三新”领域妇联组织“两个覆盖”集中攻坚，开展摸排走访、调研调度40余次，建设执委工作室10个（含“三新”领域5个），开展新就业群体关爱活动20余次，新经济组织、新社会组织妇联覆盖率分别提升至75%与63%；组织全州100余名妇联干部、执委参加“巾帼领头雁”赋能培训，推动党建与业务深度融合；高标准筹备阿坝州妇女第十四次代表大会工作，积极推动选举产生新一届妇联领导班子。</w:t>
      </w:r>
    </w:p>
    <w:bookmarkEnd w:id="96"/>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40" w:lineRule="exact"/>
        <w:ind w:firstLine="642" w:firstLineChars="200"/>
        <w:contextualSpacing/>
        <w:jc w:val="left"/>
        <w:textAlignment w:val="auto"/>
        <w:outlineLvl w:val="9"/>
        <w:rPr>
          <w:rFonts w:hint="eastAsia" w:ascii="Times New Roman" w:hAnsi="Times New Roman" w:eastAsia="仿宋_GB2312" w:cs="Times New Roman"/>
          <w:b/>
          <w:bCs/>
          <w:color w:val="000000"/>
          <w:kern w:val="0"/>
          <w:sz w:val="32"/>
          <w:szCs w:val="32"/>
          <w:highlight w:val="none"/>
          <w:shd w:val="clear" w:color="auto" w:fill="FFFFFF"/>
          <w:lang w:val="en-US"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2.预算管理（</w:t>
      </w:r>
      <w:r>
        <w:rPr>
          <w:rFonts w:hint="eastAsia" w:eastAsia="仿宋_GB2312" w:cs="Times New Roman"/>
          <w:b/>
          <w:bCs/>
          <w:color w:val="000000"/>
          <w:kern w:val="0"/>
          <w:sz w:val="32"/>
          <w:szCs w:val="32"/>
          <w:highlight w:val="none"/>
          <w:shd w:val="clear" w:color="auto" w:fill="FFFFFF"/>
          <w:lang w:val="en-US" w:eastAsia="zh-CN"/>
        </w:rPr>
        <w:t>22.99</w:t>
      </w:r>
      <w:r>
        <w:rPr>
          <w:rFonts w:hint="eastAsia" w:ascii="Times New Roman" w:hAnsi="Times New Roman" w:eastAsia="仿宋_GB2312" w:cs="Times New Roman"/>
          <w:b/>
          <w:bCs/>
          <w:color w:val="000000"/>
          <w:kern w:val="0"/>
          <w:sz w:val="32"/>
          <w:szCs w:val="32"/>
          <w:highlight w:val="none"/>
          <w:shd w:val="clear" w:color="auto" w:fill="FFFFFF"/>
          <w:lang w:val="en-US"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预算编制质量得分</w:t>
      </w:r>
      <w:r>
        <w:rPr>
          <w:rFonts w:hint="eastAsia" w:eastAsia="仿宋_GB2312" w:cs="Times New Roman"/>
          <w:color w:val="000000"/>
          <w:kern w:val="0"/>
          <w:sz w:val="32"/>
          <w:szCs w:val="32"/>
          <w:highlight w:val="none"/>
          <w:shd w:val="clear" w:color="auto" w:fill="FFFFFF"/>
          <w:lang w:val="en-US" w:eastAsia="zh-CN"/>
        </w:rPr>
        <w:t>5.99</w:t>
      </w:r>
      <w:r>
        <w:rPr>
          <w:rFonts w:hint="eastAsia" w:ascii="Times New Roman" w:hAnsi="Times New Roman" w:eastAsia="仿宋_GB2312" w:cs="Times New Roman"/>
          <w:color w:val="000000"/>
          <w:kern w:val="0"/>
          <w:sz w:val="32"/>
          <w:szCs w:val="32"/>
          <w:highlight w:val="none"/>
          <w:shd w:val="clear" w:color="auto" w:fill="FFFFFF"/>
          <w:lang w:val="en-US" w:eastAsia="zh-CN"/>
        </w:rPr>
        <w:t>分。</w:t>
      </w:r>
      <w:r>
        <w:rPr>
          <w:rFonts w:hint="eastAsia" w:eastAsia="仿宋_GB2312" w:cs="Times New Roman"/>
          <w:color w:val="000000"/>
          <w:kern w:val="0"/>
          <w:sz w:val="32"/>
          <w:szCs w:val="32"/>
          <w:highlight w:val="none"/>
          <w:shd w:val="clear" w:color="auto" w:fill="FFFFFF"/>
          <w:lang w:val="en-US" w:eastAsia="zh-CN"/>
        </w:rPr>
        <w:t>2025年度，我会预算执行与年初预算存在偏离度，主要原因为年中新增了浙江援建项目1个、</w:t>
      </w:r>
      <w:r>
        <w:rPr>
          <w:rFonts w:hint="eastAsia" w:eastAsia="仿宋_GB2312" w:cs="Times New Roman"/>
          <w:color w:val="auto"/>
          <w:kern w:val="0"/>
          <w:sz w:val="32"/>
          <w:szCs w:val="32"/>
          <w:highlight w:val="none"/>
          <w:shd w:val="clear" w:color="auto" w:fill="FFFFFF"/>
          <w:lang w:val="en-US" w:eastAsia="zh-CN"/>
        </w:rPr>
        <w:t>省级专项1个及4个代管资金项目</w:t>
      </w:r>
      <w:r>
        <w:rPr>
          <w:rFonts w:hint="eastAsia" w:eastAsia="仿宋_GB2312" w:cs="Times New Roman"/>
          <w:color w:val="000000"/>
          <w:kern w:val="0"/>
          <w:sz w:val="32"/>
          <w:szCs w:val="32"/>
          <w:highlight w:val="none"/>
          <w:shd w:val="clear" w:color="auto" w:fill="FFFFFF"/>
          <w:lang w:val="en-US" w:eastAsia="zh-CN"/>
        </w:rPr>
        <w:t>。上述项目的增加，虽导致预算执行与年初预算出现一定偏差，但我会严格遵循预算编制要求，对所有入库项目均开展了事前绩效评估，科学编制绩效目标，确保专款专用，保障资金的有效利用，切实提升了资金使用效益。我会将继续强化预算编制管理，进一步优化预算编制流程，提高预算编制的科学性与精准性，同时加强对新增项目的预算执行监控，确保预算执行与预算编制目标保持一致，进一步提升预算编制质量，为各项工作的顺利开展提供坚实的财政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单位收入统筹得分</w:t>
      </w:r>
      <w:r>
        <w:rPr>
          <w:rFonts w:hint="eastAsia" w:eastAsia="仿宋_GB2312" w:cs="Times New Roman"/>
          <w:color w:val="000000"/>
          <w:kern w:val="0"/>
          <w:sz w:val="32"/>
          <w:szCs w:val="32"/>
          <w:highlight w:val="none"/>
          <w:shd w:val="clear" w:color="auto" w:fill="FFFFFF"/>
          <w:lang w:val="en-US" w:eastAsia="zh-CN"/>
        </w:rPr>
        <w:t>4</w:t>
      </w:r>
      <w:r>
        <w:rPr>
          <w:rFonts w:hint="eastAsia" w:ascii="Times New Roman" w:hAnsi="Times New Roman" w:eastAsia="仿宋_GB2312" w:cs="Times New Roman"/>
          <w:color w:val="000000"/>
          <w:kern w:val="0"/>
          <w:sz w:val="32"/>
          <w:szCs w:val="32"/>
          <w:highlight w:val="none"/>
          <w:shd w:val="clear" w:color="auto" w:fill="FFFFFF"/>
          <w:lang w:val="en-US" w:eastAsia="zh-CN"/>
        </w:rPr>
        <w:t>分。</w:t>
      </w:r>
      <w:r>
        <w:rPr>
          <w:rFonts w:hint="eastAsia" w:eastAsia="仿宋_GB2312" w:cs="Times New Roman"/>
          <w:color w:val="000000"/>
          <w:kern w:val="0"/>
          <w:sz w:val="32"/>
          <w:szCs w:val="32"/>
          <w:highlight w:val="none"/>
          <w:shd w:val="clear" w:color="auto" w:fill="FFFFFF"/>
          <w:lang w:val="en-US" w:eastAsia="zh-CN"/>
        </w:rPr>
        <w:t>我会</w:t>
      </w:r>
      <w:r>
        <w:rPr>
          <w:rFonts w:hint="eastAsia" w:ascii="Times New Roman" w:hAnsi="Times New Roman" w:eastAsia="仿宋_GB2312" w:cs="Times New Roman"/>
          <w:color w:val="000000"/>
          <w:kern w:val="0"/>
          <w:sz w:val="32"/>
          <w:szCs w:val="32"/>
          <w:highlight w:val="none"/>
          <w:shd w:val="clear" w:color="auto" w:fill="FFFFFF"/>
          <w:lang w:val="en-US" w:eastAsia="zh-CN"/>
        </w:rPr>
        <w:t>为财政全额拨款单位，无部门自有收入来源。经核算，我会财政核定的综合补助比例与按照实际执行情况测算的综合补助比例保持一致。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r>
        <w:rPr>
          <w:rFonts w:hint="eastAsia" w:eastAsia="仿宋_GB2312" w:cs="Times New Roman"/>
          <w:color w:val="000000"/>
          <w:kern w:val="0"/>
          <w:sz w:val="32"/>
          <w:szCs w:val="32"/>
          <w:highlight w:val="none"/>
          <w:shd w:val="clear" w:color="auto" w:fill="FFFFFF"/>
          <w:lang w:val="en-US" w:eastAsia="zh-CN"/>
        </w:rPr>
        <w:t>预算执行进度指标得分4.18分。2025年度，本部门部门预算总额908.66万元，1—6月预算执行数695.07万元，1—10月预算执行数859.6万元。各监控节点均未发生支出预警及违规事项，违规金额占比为0。全年预算执行总体平稳有序，1—6月执行进度同比提升，各阶段序时进度达标，预算执行规范高效，预算管理规范化水平与执行效能持续提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预算年终结余</w:t>
      </w:r>
      <w:r>
        <w:rPr>
          <w:rFonts w:hint="eastAsia" w:eastAsia="仿宋_GB2312" w:cs="Times New Roman"/>
          <w:color w:val="000000"/>
          <w:kern w:val="0"/>
          <w:sz w:val="32"/>
          <w:szCs w:val="32"/>
          <w:highlight w:val="none"/>
          <w:shd w:val="clear" w:color="auto" w:fill="FFFFFF"/>
          <w:lang w:val="en-US" w:eastAsia="zh-CN"/>
        </w:rPr>
        <w:t>得分2分</w:t>
      </w:r>
      <w:r>
        <w:rPr>
          <w:rFonts w:hint="eastAsia" w:ascii="Times New Roman" w:hAnsi="Times New Roman" w:eastAsia="仿宋_GB2312" w:cs="Times New Roman"/>
          <w:color w:val="000000"/>
          <w:kern w:val="0"/>
          <w:sz w:val="32"/>
          <w:szCs w:val="32"/>
          <w:highlight w:val="none"/>
          <w:shd w:val="clear" w:color="auto" w:fill="FFFFFF"/>
          <w:lang w:val="en-US" w:eastAsia="zh-CN"/>
        </w:rPr>
        <w:t>。我会不存在年终结余资金，所有资金均按照预算计划合理使用资金，避免了资金结余的情况</w:t>
      </w:r>
      <w:r>
        <w:rPr>
          <w:rFonts w:hint="eastAsia" w:eastAsia="仿宋_GB2312" w:cs="Times New Roman"/>
          <w:color w:val="000000"/>
          <w:kern w:val="0"/>
          <w:sz w:val="32"/>
          <w:szCs w:val="32"/>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严控一般性支出</w:t>
      </w:r>
      <w:r>
        <w:rPr>
          <w:rFonts w:hint="eastAsia" w:eastAsia="仿宋_GB2312" w:cs="Times New Roman"/>
          <w:color w:val="000000"/>
          <w:kern w:val="0"/>
          <w:sz w:val="32"/>
          <w:szCs w:val="32"/>
          <w:highlight w:val="none"/>
          <w:shd w:val="clear" w:color="auto" w:fill="FFFFFF"/>
          <w:lang w:val="en-US" w:eastAsia="zh-CN"/>
        </w:rPr>
        <w:t>得分0分</w:t>
      </w:r>
      <w:r>
        <w:rPr>
          <w:rFonts w:hint="eastAsia" w:ascii="Times New Roman" w:hAnsi="Times New Roman" w:eastAsia="仿宋_GB2312" w:cs="Times New Roman"/>
          <w:color w:val="000000"/>
          <w:kern w:val="0"/>
          <w:sz w:val="32"/>
          <w:szCs w:val="32"/>
          <w:highlight w:val="none"/>
          <w:shd w:val="clear" w:color="auto" w:fill="FFFFFF"/>
          <w:lang w:val="en-US" w:eastAsia="zh-CN"/>
        </w:rPr>
        <w:t>。主要原因为：一是</w:t>
      </w:r>
      <w:r>
        <w:rPr>
          <w:rFonts w:hint="eastAsia" w:eastAsia="仿宋_GB2312" w:cs="Times New Roman"/>
          <w:color w:val="000000"/>
          <w:kern w:val="0"/>
          <w:sz w:val="32"/>
          <w:szCs w:val="32"/>
          <w:highlight w:val="none"/>
          <w:shd w:val="clear" w:color="auto" w:fill="FFFFFF"/>
          <w:lang w:val="en-US" w:eastAsia="zh-CN"/>
        </w:rPr>
        <w:t>2025</w:t>
      </w:r>
      <w:r>
        <w:rPr>
          <w:rFonts w:hint="eastAsia" w:ascii="Times New Roman" w:hAnsi="Times New Roman" w:eastAsia="仿宋_GB2312" w:cs="Times New Roman"/>
          <w:color w:val="000000"/>
          <w:kern w:val="0"/>
          <w:sz w:val="32"/>
          <w:szCs w:val="32"/>
          <w:highlight w:val="none"/>
          <w:shd w:val="clear" w:color="auto" w:fill="FFFFFF"/>
          <w:lang w:val="en-US" w:eastAsia="zh-CN"/>
        </w:rPr>
        <w:t>年我会</w:t>
      </w:r>
      <w:r>
        <w:rPr>
          <w:rFonts w:hint="eastAsia" w:eastAsia="仿宋_GB2312" w:cs="Times New Roman"/>
          <w:color w:val="000000"/>
          <w:kern w:val="0"/>
          <w:sz w:val="32"/>
          <w:szCs w:val="32"/>
          <w:highlight w:val="none"/>
          <w:shd w:val="clear" w:color="auto" w:fill="FFFFFF"/>
          <w:lang w:val="en-US" w:eastAsia="zh-CN"/>
        </w:rPr>
        <w:t>增加浙江对口援建项目，</w:t>
      </w:r>
      <w:r>
        <w:rPr>
          <w:rFonts w:hint="eastAsia" w:ascii="Times New Roman" w:hAnsi="Times New Roman" w:eastAsia="仿宋_GB2312" w:cs="Times New Roman"/>
          <w:color w:val="000000"/>
          <w:kern w:val="0"/>
          <w:sz w:val="32"/>
          <w:szCs w:val="32"/>
          <w:highlight w:val="none"/>
          <w:shd w:val="clear" w:color="auto" w:fill="FFFFFF"/>
          <w:lang w:val="en-US" w:eastAsia="zh-CN"/>
        </w:rPr>
        <w:t>开展</w:t>
      </w:r>
      <w:r>
        <w:rPr>
          <w:rFonts w:hint="eastAsia" w:eastAsia="仿宋_GB2312" w:cs="Times New Roman"/>
          <w:color w:val="000000"/>
          <w:kern w:val="0"/>
          <w:sz w:val="32"/>
          <w:szCs w:val="32"/>
          <w:highlight w:val="none"/>
          <w:shd w:val="clear" w:color="auto" w:fill="FFFFFF"/>
          <w:lang w:val="en-US" w:eastAsia="zh-CN"/>
        </w:rPr>
        <w:t>巾帼家政培训会</w:t>
      </w:r>
      <w:r>
        <w:rPr>
          <w:rFonts w:hint="eastAsia" w:ascii="Times New Roman" w:hAnsi="Times New Roman" w:eastAsia="仿宋_GB2312" w:cs="Times New Roman"/>
          <w:color w:val="000000"/>
          <w:kern w:val="0"/>
          <w:sz w:val="32"/>
          <w:szCs w:val="32"/>
          <w:highlight w:val="none"/>
          <w:shd w:val="clear" w:color="auto" w:fill="FFFFFF"/>
          <w:lang w:val="en-US" w:eastAsia="zh-CN"/>
        </w:rPr>
        <w:t>，导致会议费用有所增加</w:t>
      </w:r>
      <w:r>
        <w:rPr>
          <w:rFonts w:hint="eastAsia" w:eastAsia="仿宋_GB2312" w:cs="Times New Roman"/>
          <w:color w:val="000000"/>
          <w:kern w:val="0"/>
          <w:sz w:val="32"/>
          <w:szCs w:val="32"/>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40" w:lineRule="exact"/>
        <w:ind w:firstLine="642" w:firstLineChars="200"/>
        <w:contextualSpacing/>
        <w:jc w:val="left"/>
        <w:textAlignment w:val="auto"/>
        <w:outlineLvl w:val="9"/>
        <w:rPr>
          <w:rFonts w:hint="eastAsia" w:ascii="Times New Roman" w:hAnsi="Times New Roman" w:eastAsia="仿宋_GB2312" w:cs="Times New Roman"/>
          <w:b/>
          <w:bCs/>
          <w:color w:val="000000"/>
          <w:kern w:val="0"/>
          <w:sz w:val="32"/>
          <w:szCs w:val="32"/>
          <w:highlight w:val="none"/>
          <w:shd w:val="clear" w:color="auto" w:fill="FFFFFF"/>
          <w:lang w:val="en-US"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3.财务管理（10分）。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财务管理制度。我会已制定《阿坝州妇女联合会财务管理办法》，包含预算管理、收支管理、票据管理、银行账户管理、财务报告和财务分析、财务人员岗位设置和会计交接等多个方面，为财务管理提供了制度保障。通过不断完善财务管理制度</w:t>
      </w:r>
      <w:r>
        <w:rPr>
          <w:rFonts w:hint="eastAsia"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内部审计和定期财务检查确保了制度的执行</w:t>
      </w:r>
      <w:r>
        <w:rPr>
          <w:rFonts w:hint="eastAsia"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得4分</w:t>
      </w:r>
      <w:r>
        <w:rPr>
          <w:rFonts w:hint="eastAsia" w:eastAsia="仿宋_GB2312" w:cs="Times New Roman"/>
          <w:color w:val="000000"/>
          <w:kern w:val="0"/>
          <w:sz w:val="32"/>
          <w:szCs w:val="32"/>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财务岗位设置。我会《阿坝州妇女联合会财务管理办法》第十章财务人员岗位设置和会计交接第三十二条明确规定：“单位会计、出纳分设。出纳不得兼管稽核、会计档案保管和收入、费用、债权、债务账簿的登记工作。在银行预留印鉴的有关印章，应由会计和办公室负责人分别管理。”通过对财务岗位的科学设置，各财务岗位职责明确，工作流程清晰</w:t>
      </w:r>
      <w:r>
        <w:rPr>
          <w:rFonts w:hint="eastAsia"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得2分</w:t>
      </w:r>
      <w:r>
        <w:rPr>
          <w:rFonts w:hint="eastAsia" w:eastAsia="仿宋_GB2312" w:cs="Times New Roman"/>
          <w:color w:val="000000"/>
          <w:kern w:val="0"/>
          <w:sz w:val="32"/>
          <w:szCs w:val="32"/>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资金使用规范。我会制定了严格的资金使用规范，资金拨付、报销审批、项目资金管理等环节均按照规范程序进行，有效防范了资金使用中的风险和浪费现象</w:t>
      </w:r>
      <w:r>
        <w:rPr>
          <w:rFonts w:hint="eastAsia"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4.资产管理（9分）</w:t>
      </w:r>
      <w:r>
        <w:rPr>
          <w:rFonts w:hint="eastAsia" w:ascii="Times New Roman" w:hAnsi="Times New Roman" w:eastAsia="仿宋_GB2312" w:cs="Times New Roman"/>
          <w:color w:val="000000"/>
          <w:kern w:val="0"/>
          <w:sz w:val="32"/>
          <w:szCs w:val="32"/>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default"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人均资产变化率</w:t>
      </w:r>
      <w:r>
        <w:rPr>
          <w:rFonts w:hint="eastAsia" w:ascii="Times New Roman" w:hAnsi="Times New Roman" w:eastAsia="仿宋_GB2312" w:cs="Times New Roman"/>
          <w:color w:val="000000"/>
          <w:kern w:val="0"/>
          <w:sz w:val="32"/>
          <w:szCs w:val="32"/>
          <w:highlight w:val="none"/>
          <w:shd w:val="clear" w:color="auto" w:fill="FFFFFF"/>
          <w:lang w:val="en-US" w:eastAsia="zh-CN"/>
        </w:rPr>
        <w:t>。我会</w:t>
      </w:r>
      <w:r>
        <w:rPr>
          <w:rFonts w:hint="eastAsia" w:eastAsia="仿宋_GB2312" w:cs="Times New Roman"/>
          <w:color w:val="000000"/>
          <w:kern w:val="0"/>
          <w:sz w:val="32"/>
          <w:szCs w:val="32"/>
          <w:highlight w:val="none"/>
          <w:shd w:val="clear" w:color="auto" w:fill="FFFFFF"/>
          <w:lang w:val="en-US" w:eastAsia="zh-CN"/>
        </w:rPr>
        <w:t>2025</w:t>
      </w:r>
      <w:r>
        <w:rPr>
          <w:rFonts w:hint="eastAsia" w:ascii="Times New Roman" w:hAnsi="Times New Roman" w:eastAsia="仿宋_GB2312" w:cs="Times New Roman"/>
          <w:color w:val="000000"/>
          <w:kern w:val="0"/>
          <w:sz w:val="32"/>
          <w:szCs w:val="32"/>
          <w:highlight w:val="none"/>
          <w:shd w:val="clear" w:color="auto" w:fill="FFFFFF"/>
          <w:lang w:val="en-US" w:eastAsia="zh-CN"/>
        </w:rPr>
        <w:t>年人均资产变化率为−0.63%，与</w:t>
      </w:r>
      <w:r>
        <w:rPr>
          <w:rFonts w:hint="eastAsia" w:eastAsia="仿宋_GB2312" w:cs="Times New Roman"/>
          <w:color w:val="000000"/>
          <w:kern w:val="0"/>
          <w:sz w:val="32"/>
          <w:szCs w:val="32"/>
          <w:highlight w:val="none"/>
          <w:shd w:val="clear" w:color="auto" w:fill="FFFFFF"/>
          <w:lang w:val="en-US" w:eastAsia="zh-CN"/>
        </w:rPr>
        <w:t>2025</w:t>
      </w:r>
      <w:r>
        <w:rPr>
          <w:rFonts w:hint="eastAsia" w:ascii="Times New Roman" w:hAnsi="Times New Roman" w:eastAsia="仿宋_GB2312" w:cs="Times New Roman"/>
          <w:color w:val="000000"/>
          <w:kern w:val="0"/>
          <w:sz w:val="32"/>
          <w:szCs w:val="32"/>
          <w:highlight w:val="none"/>
          <w:shd w:val="clear" w:color="auto" w:fill="FFFFFF"/>
          <w:lang w:val="en-US" w:eastAsia="zh-CN"/>
        </w:rPr>
        <w:t>年州直行政事业单位人均资产变化率-3.49%相比低了</w:t>
      </w:r>
      <w:r>
        <w:rPr>
          <w:rFonts w:hint="eastAsia" w:eastAsia="仿宋_GB2312" w:cs="Times New Roman"/>
          <w:color w:val="000000"/>
          <w:kern w:val="0"/>
          <w:sz w:val="32"/>
          <w:szCs w:val="32"/>
          <w:highlight w:val="none"/>
          <w:shd w:val="clear" w:color="auto" w:fill="FFFFFF"/>
          <w:lang w:val="en-US" w:eastAsia="zh-CN"/>
        </w:rPr>
        <w:t>2.86</w:t>
      </w:r>
      <w:r>
        <w:rPr>
          <w:rFonts w:hint="eastAsia" w:ascii="Times New Roman" w:hAnsi="Times New Roman" w:eastAsia="仿宋_GB2312" w:cs="Times New Roman"/>
          <w:color w:val="000000"/>
          <w:kern w:val="0"/>
          <w:sz w:val="32"/>
          <w:szCs w:val="32"/>
          <w:highlight w:val="none"/>
          <w:shd w:val="clear" w:color="auto" w:fill="FFFFFF"/>
          <w:lang w:val="en-US" w:eastAsia="zh-CN"/>
        </w:rPr>
        <w:t>个百分点</w:t>
      </w:r>
      <w:r>
        <w:rPr>
          <w:rFonts w:hint="eastAsia" w:eastAsia="仿宋_GB2312" w:cs="Times New Roman"/>
          <w:color w:val="000000"/>
          <w:kern w:val="0"/>
          <w:sz w:val="32"/>
          <w:szCs w:val="32"/>
          <w:highlight w:val="none"/>
          <w:shd w:val="clear" w:color="auto" w:fill="FFFFFF"/>
          <w:lang w:val="en-US" w:eastAsia="zh-CN"/>
        </w:rPr>
        <w:t>，得1.5分；</w:t>
      </w:r>
      <w:r>
        <w:rPr>
          <w:rFonts w:hint="eastAsia" w:ascii="Times New Roman" w:hAnsi="Times New Roman" w:eastAsia="仿宋_GB2312" w:cs="Times New Roman"/>
          <w:color w:val="000000"/>
          <w:kern w:val="0"/>
          <w:sz w:val="32"/>
          <w:szCs w:val="32"/>
          <w:highlight w:val="none"/>
          <w:shd w:val="clear" w:color="auto" w:fill="FFFFFF"/>
          <w:lang w:val="en-US" w:eastAsia="zh-CN"/>
        </w:rPr>
        <w:t>我会</w:t>
      </w:r>
      <w:r>
        <w:rPr>
          <w:rFonts w:hint="eastAsia" w:eastAsia="仿宋_GB2312" w:cs="Times New Roman"/>
          <w:color w:val="000000"/>
          <w:kern w:val="0"/>
          <w:sz w:val="32"/>
          <w:szCs w:val="32"/>
          <w:highlight w:val="none"/>
          <w:shd w:val="clear" w:color="auto" w:fill="FFFFFF"/>
          <w:lang w:val="en-US" w:eastAsia="zh-CN"/>
        </w:rPr>
        <w:t>2025</w:t>
      </w:r>
      <w:r>
        <w:rPr>
          <w:rFonts w:hint="eastAsia" w:ascii="Times New Roman" w:hAnsi="Times New Roman" w:eastAsia="仿宋_GB2312" w:cs="Times New Roman"/>
          <w:color w:val="000000"/>
          <w:kern w:val="0"/>
          <w:sz w:val="32"/>
          <w:szCs w:val="32"/>
          <w:highlight w:val="none"/>
          <w:shd w:val="clear" w:color="auto" w:fill="FFFFFF"/>
          <w:lang w:val="en-US" w:eastAsia="zh-CN"/>
        </w:rPr>
        <w:t>年人均资产增长率</w:t>
      </w:r>
      <w:r>
        <w:rPr>
          <w:rFonts w:hint="eastAsia" w:eastAsia="仿宋_GB2312" w:cs="Times New Roman"/>
          <w:color w:val="000000"/>
          <w:kern w:val="0"/>
          <w:sz w:val="32"/>
          <w:szCs w:val="32"/>
          <w:highlight w:val="none"/>
          <w:shd w:val="clear" w:color="auto" w:fill="FFFFFF"/>
          <w:lang w:val="en-US" w:eastAsia="zh-CN"/>
        </w:rPr>
        <w:t>为−0.63%，小于0，等1.5分；合计得分：3分。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资产利用率。</w:t>
      </w:r>
      <w:r>
        <w:rPr>
          <w:rFonts w:hint="eastAsia" w:eastAsia="仿宋_GB2312" w:cs="Times New Roman"/>
          <w:color w:val="000000"/>
          <w:kern w:val="0"/>
          <w:sz w:val="32"/>
          <w:szCs w:val="32"/>
          <w:highlight w:val="none"/>
          <w:shd w:val="clear" w:color="auto" w:fill="FFFFFF"/>
          <w:lang w:val="en-US" w:eastAsia="zh-CN"/>
        </w:rPr>
        <w:t>2025</w:t>
      </w:r>
      <w:r>
        <w:rPr>
          <w:rFonts w:hint="eastAsia" w:ascii="Times New Roman" w:hAnsi="Times New Roman" w:eastAsia="仿宋_GB2312" w:cs="Times New Roman"/>
          <w:color w:val="000000"/>
          <w:kern w:val="0"/>
          <w:sz w:val="32"/>
          <w:szCs w:val="32"/>
          <w:highlight w:val="none"/>
          <w:shd w:val="clear" w:color="auto" w:fill="FFFFFF"/>
          <w:lang w:val="en-US" w:eastAsia="zh-CN"/>
        </w:rPr>
        <w:t>年我会办公家具原值14.076万元，其中超最低使用年限仍在用资产原值3万元，办公家具超最低使用年限资产利用率为21.31%，大于州直行政事业单位办公家具资产利用率平均值12.93%</w:t>
      </w:r>
      <w:r>
        <w:rPr>
          <w:rFonts w:hint="eastAsia"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得1.5分；</w:t>
      </w:r>
      <w:r>
        <w:rPr>
          <w:rFonts w:hint="eastAsia" w:eastAsia="仿宋_GB2312" w:cs="Times New Roman"/>
          <w:color w:val="000000"/>
          <w:kern w:val="0"/>
          <w:sz w:val="32"/>
          <w:szCs w:val="32"/>
          <w:highlight w:val="none"/>
          <w:shd w:val="clear" w:color="auto" w:fill="FFFFFF"/>
          <w:lang w:val="en-US" w:eastAsia="zh-CN"/>
        </w:rPr>
        <w:t>本部门</w:t>
      </w:r>
      <w:r>
        <w:rPr>
          <w:rFonts w:hint="eastAsia" w:ascii="Times New Roman" w:hAnsi="Times New Roman" w:eastAsia="仿宋_GB2312" w:cs="Times New Roman"/>
          <w:color w:val="000000"/>
          <w:kern w:val="0"/>
          <w:sz w:val="32"/>
          <w:szCs w:val="32"/>
          <w:highlight w:val="none"/>
          <w:shd w:val="clear" w:color="auto" w:fill="FFFFFF"/>
          <w:lang w:val="en-US" w:eastAsia="zh-CN"/>
        </w:rPr>
        <w:t>办公设备原值174.63万元，其中超最低使用年限仍在用资产原值139.82万元，办公设备超最低使用年限资产利用率为80.07%，大于</w:t>
      </w:r>
      <w:r>
        <w:rPr>
          <w:rFonts w:hint="eastAsia" w:eastAsia="仿宋_GB2312" w:cs="Times New Roman"/>
          <w:color w:val="000000"/>
          <w:kern w:val="0"/>
          <w:sz w:val="32"/>
          <w:szCs w:val="32"/>
          <w:highlight w:val="none"/>
          <w:shd w:val="clear" w:color="auto" w:fill="FFFFFF"/>
          <w:lang w:val="en-US" w:eastAsia="zh-CN"/>
        </w:rPr>
        <w:t>2025</w:t>
      </w:r>
      <w:r>
        <w:rPr>
          <w:rFonts w:hint="eastAsia" w:ascii="Times New Roman" w:hAnsi="Times New Roman" w:eastAsia="仿宋_GB2312" w:cs="Times New Roman"/>
          <w:color w:val="000000"/>
          <w:kern w:val="0"/>
          <w:sz w:val="32"/>
          <w:szCs w:val="32"/>
          <w:highlight w:val="none"/>
          <w:shd w:val="clear" w:color="auto" w:fill="FFFFFF"/>
          <w:lang w:val="en-US" w:eastAsia="zh-CN"/>
        </w:rPr>
        <w:t>年州直行政事业单位办公设备资产利用率平均值47.86%，得1.5分；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我部门资产使用规范、利用效率较高</w:t>
      </w:r>
      <w:r>
        <w:rPr>
          <w:rFonts w:hint="eastAsia"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合计得分3分。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资产盘活率。</w:t>
      </w:r>
      <w:r>
        <w:rPr>
          <w:rFonts w:hint="eastAsia" w:ascii="Times New Roman" w:hAnsi="Times New Roman" w:eastAsia="仿宋_GB2312" w:cs="Times New Roman"/>
          <w:color w:val="000000"/>
          <w:kern w:val="0"/>
          <w:sz w:val="32"/>
          <w:szCs w:val="32"/>
          <w:highlight w:val="none"/>
          <w:shd w:val="clear" w:color="auto" w:fill="FFFFFF"/>
          <w:lang w:val="en-US" w:eastAsia="zh-CN"/>
        </w:rPr>
        <w:t>我会两年均无闲置资产或上年度有闲置资产评价年度无闲置资产</w:t>
      </w:r>
      <w:r>
        <w:rPr>
          <w:rFonts w:hint="eastAsia" w:eastAsia="仿宋_GB2312" w:cs="Times New Roman"/>
          <w:color w:val="000000"/>
          <w:kern w:val="0"/>
          <w:sz w:val="32"/>
          <w:szCs w:val="32"/>
          <w:highlight w:val="none"/>
          <w:shd w:val="clear" w:color="auto" w:fill="FFFFFF"/>
          <w:lang w:val="en-US" w:eastAsia="zh-CN"/>
        </w:rPr>
        <w:t>，得3分。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5.采购管理（6分）</w:t>
      </w:r>
      <w:r>
        <w:rPr>
          <w:rFonts w:hint="eastAsia" w:ascii="Times New Roman" w:hAnsi="Times New Roman" w:eastAsia="仿宋_GB2312" w:cs="Times New Roman"/>
          <w:color w:val="000000"/>
          <w:kern w:val="0"/>
          <w:sz w:val="32"/>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支持中小企业发展</w:t>
      </w:r>
      <w:r>
        <w:rPr>
          <w:rFonts w:hint="eastAsia" w:eastAsia="仿宋_GB2312" w:cs="Times New Roman"/>
          <w:b/>
          <w:bCs/>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2025年度，</w:t>
      </w:r>
      <w:bookmarkStart w:id="97" w:name="OLE_LINK2"/>
      <w:r>
        <w:rPr>
          <w:rFonts w:hint="eastAsia" w:eastAsia="仿宋_GB2312" w:cs="Times New Roman"/>
          <w:color w:val="000000"/>
          <w:kern w:val="0"/>
          <w:sz w:val="32"/>
          <w:szCs w:val="32"/>
          <w:highlight w:val="none"/>
          <w:shd w:val="clear" w:color="auto" w:fill="FFFFFF"/>
          <w:lang w:val="en-US" w:eastAsia="zh-CN"/>
        </w:rPr>
        <w:t>我部门</w:t>
      </w:r>
      <w:bookmarkEnd w:id="97"/>
      <w:r>
        <w:rPr>
          <w:rFonts w:hint="eastAsia" w:ascii="Times New Roman" w:hAnsi="Times New Roman" w:eastAsia="仿宋_GB2312" w:cs="Times New Roman"/>
          <w:color w:val="000000"/>
          <w:kern w:val="0"/>
          <w:sz w:val="32"/>
          <w:szCs w:val="32"/>
          <w:highlight w:val="none"/>
          <w:shd w:val="clear" w:color="auto" w:fill="FFFFFF"/>
          <w:lang w:val="en-US" w:eastAsia="zh-CN"/>
        </w:rPr>
        <w:t>严格落实政府采购支持中小企业发展相关政策，坚持优先采购中小企业产品及服务。全年政府采购金额 156.67 万元，其中专门面向中小企业预留采购份额 155.99 万元，占比 99.57%，指标完成良好，该项指标得3分。</w:t>
      </w:r>
    </w:p>
    <w:p>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政府采购执行率</w:t>
      </w:r>
      <w:r>
        <w:rPr>
          <w:rFonts w:hint="eastAsia"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本年度</w:t>
      </w:r>
      <w:r>
        <w:rPr>
          <w:rFonts w:hint="eastAsia" w:eastAsia="仿宋_GB2312" w:cs="Times New Roman"/>
          <w:color w:val="000000"/>
          <w:kern w:val="0"/>
          <w:sz w:val="32"/>
          <w:szCs w:val="32"/>
          <w:highlight w:val="none"/>
          <w:shd w:val="clear" w:color="auto" w:fill="FFFFFF"/>
          <w:lang w:val="en-US" w:eastAsia="zh-CN"/>
        </w:rPr>
        <w:t>我部门</w:t>
      </w:r>
      <w:r>
        <w:rPr>
          <w:rFonts w:hint="eastAsia" w:ascii="Times New Roman" w:hAnsi="Times New Roman" w:eastAsia="仿宋_GB2312" w:cs="Times New Roman"/>
          <w:color w:val="000000"/>
          <w:kern w:val="0"/>
          <w:sz w:val="32"/>
          <w:szCs w:val="32"/>
          <w:highlight w:val="none"/>
          <w:shd w:val="clear" w:color="auto" w:fill="FFFFFF"/>
          <w:lang w:val="en-US" w:eastAsia="zh-CN"/>
        </w:rPr>
        <w:t>强化政府采购计划编制与执行管理，严格规范采购流程，采购执行率达100%，有效保障单位履职需要及各项工作有序开展，助力地方经济发展与中小企业健康发展，该项指标得3分。</w:t>
      </w:r>
    </w:p>
    <w:p>
      <w:pPr>
        <w:keepNext w:val="0"/>
        <w:keepLines w:val="0"/>
        <w:pageBreakBefore w:val="0"/>
        <w:widowControl/>
        <w:kinsoku/>
        <w:wordWrap/>
        <w:overflowPunct/>
        <w:topLinePunct w:val="0"/>
        <w:autoSpaceDE/>
        <w:autoSpaceDN/>
        <w:bidi w:val="0"/>
        <w:adjustRightInd w:val="0"/>
        <w:snapToGrid w:val="0"/>
        <w:spacing w:line="540" w:lineRule="exact"/>
        <w:ind w:firstLine="642"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w:t>
      </w:r>
      <w:r>
        <w:rPr>
          <w:rFonts w:hint="default" w:ascii="Times New Roman" w:hAnsi="Times New Roman" w:eastAsia="楷体_GB2312" w:cs="Times New Roman"/>
          <w:b/>
          <w:bCs/>
          <w:color w:val="000000"/>
          <w:kern w:val="0"/>
          <w:sz w:val="32"/>
          <w:szCs w:val="32"/>
          <w:highlight w:val="none"/>
          <w:shd w:val="clear" w:color="auto" w:fill="FFFFFF"/>
          <w:lang w:val="zh-CN" w:eastAsia="zh-CN"/>
        </w:rPr>
        <w:t>项</w:t>
      </w:r>
      <w:r>
        <w:rPr>
          <w:rFonts w:hint="default" w:ascii="Times New Roman" w:hAnsi="Times New Roman" w:eastAsia="楷体_GB2312" w:cs="Times New Roman"/>
          <w:b/>
          <w:bCs/>
          <w:color w:val="000000"/>
          <w:kern w:val="0"/>
          <w:sz w:val="32"/>
          <w:szCs w:val="32"/>
          <w:highlight w:val="none"/>
          <w:shd w:val="clear" w:color="auto" w:fill="FFFFFF"/>
          <w:lang w:val="zh-CN"/>
        </w:rPr>
        <w:t>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eastAsia="仿宋_GB2312" w:cs="Times New Roman"/>
          <w:color w:val="000000"/>
          <w:kern w:val="0"/>
          <w:sz w:val="32"/>
          <w:szCs w:val="32"/>
          <w:highlight w:val="none"/>
          <w:shd w:val="clear" w:color="auto" w:fill="FFFFFF"/>
          <w:lang w:val="en-US" w:eastAsia="zh-CN"/>
        </w:rPr>
        <w:t>9</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eastAsia="仿宋_GB2312" w:cs="Times New Roman"/>
          <w:color w:val="000000"/>
          <w:kern w:val="0"/>
          <w:sz w:val="32"/>
          <w:szCs w:val="32"/>
          <w:highlight w:val="none"/>
          <w:shd w:val="clear" w:color="auto" w:fill="FFFFFF"/>
          <w:lang w:val="en-US" w:eastAsia="zh-CN"/>
        </w:rPr>
        <w:t>123.3</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tbl>
      <w:tblPr>
        <w:tblStyle w:val="15"/>
        <w:tblW w:w="87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7"/>
        <w:gridCol w:w="1915"/>
        <w:gridCol w:w="1595"/>
        <w:gridCol w:w="1595"/>
        <w:gridCol w:w="19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序号</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项目名称</w:t>
            </w:r>
          </w:p>
        </w:tc>
        <w:tc>
          <w:tcPr>
            <w:tcW w:w="1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2025年预算数（万元）</w:t>
            </w:r>
          </w:p>
        </w:tc>
        <w:tc>
          <w:tcPr>
            <w:tcW w:w="1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2025年执行数（万元）</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预算执行总体进度（%）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爱心“爸妈”工作经费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10.33</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困境妇女儿童扶助工作经费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4.99</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基层组织建设工作经费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7.99</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1"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妇儿工委办专项工作经费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妇女儿童宣传经费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三八节等节日活动经费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1"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家庭教育指导服务专项经费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妇女儿童工作经费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16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default" w:ascii="微软雅黑" w:hAnsi="微软雅黑" w:eastAsia="微软雅黑" w:cs="微软雅黑"/>
                <w:i w:val="0"/>
                <w:iCs w:val="0"/>
                <w:color w:val="000000"/>
                <w:sz w:val="22"/>
                <w:szCs w:val="22"/>
                <w:u w:val="none"/>
                <w:lang w:val="en-US" w:eastAsia="zh-CN"/>
              </w:rPr>
            </w:pPr>
            <w:r>
              <w:rPr>
                <w:rFonts w:hint="eastAsia" w:ascii="微软雅黑" w:hAnsi="微软雅黑" w:eastAsia="微软雅黑" w:cs="微软雅黑"/>
                <w:i w:val="0"/>
                <w:iCs w:val="0"/>
                <w:color w:val="000000"/>
                <w:sz w:val="22"/>
                <w:szCs w:val="22"/>
                <w:u w:val="none"/>
                <w:lang w:val="en-US" w:eastAsia="zh-CN"/>
              </w:rPr>
              <w:t xml:space="preserve">     </w:t>
            </w:r>
            <w:r>
              <w:rPr>
                <w:rFonts w:hint="eastAsia" w:ascii="仿宋_GB2312" w:hAnsi="宋体" w:eastAsia="仿宋_GB2312" w:cs="仿宋_GB2312"/>
                <w:i w:val="0"/>
                <w:iCs w:val="0"/>
                <w:color w:val="000000"/>
                <w:kern w:val="0"/>
                <w:sz w:val="22"/>
                <w:szCs w:val="22"/>
                <w:u w:val="none"/>
                <w:lang w:val="en-US" w:eastAsia="zh-CN" w:bidi="ar"/>
              </w:rPr>
              <w:t xml:space="preserve">  9</w:t>
            </w:r>
          </w:p>
        </w:tc>
        <w:tc>
          <w:tcPr>
            <w:tcW w:w="19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1+N工作经费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9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eastAsia="仿宋_GB2312" w:cs="Times New Roman"/>
          <w:color w:val="000000"/>
          <w:kern w:val="0"/>
          <w:sz w:val="32"/>
          <w:szCs w:val="32"/>
          <w:highlight w:val="none"/>
          <w:shd w:val="clear" w:color="auto" w:fill="FFFFFF"/>
          <w:lang w:val="en-US" w:eastAsia="zh-CN"/>
        </w:rPr>
        <w:t>含</w:t>
      </w:r>
      <w:r>
        <w:rPr>
          <w:rFonts w:hint="default" w:ascii="Times New Roman" w:hAnsi="Times New Roman" w:eastAsia="仿宋_GB2312" w:cs="Times New Roman"/>
          <w:color w:val="000000"/>
          <w:kern w:val="0"/>
          <w:sz w:val="32"/>
          <w:szCs w:val="32"/>
          <w:highlight w:val="none"/>
          <w:shd w:val="clear" w:color="auto" w:fill="FFFFFF"/>
          <w:lang w:val="en-US" w:eastAsia="zh-CN"/>
        </w:rPr>
        <w:t>一次性）项目绩效分析。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eastAsia="仿宋_GB2312" w:cs="Times New Roman"/>
          <w:color w:val="000000"/>
          <w:kern w:val="0"/>
          <w:sz w:val="32"/>
          <w:szCs w:val="32"/>
          <w:highlight w:val="none"/>
          <w:shd w:val="clear" w:color="auto" w:fill="FFFFFF"/>
          <w:lang w:val="en-US" w:eastAsia="zh-CN"/>
        </w:rPr>
        <w:t>4</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eastAsia="仿宋_GB2312" w:cs="Times New Roman"/>
          <w:color w:val="000000"/>
          <w:kern w:val="0"/>
          <w:sz w:val="32"/>
          <w:szCs w:val="32"/>
          <w:highlight w:val="none"/>
          <w:shd w:val="clear" w:color="auto" w:fill="FFFFFF"/>
          <w:lang w:val="en-US" w:eastAsia="zh-CN"/>
        </w:rPr>
        <w:t>280.17</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tbl>
      <w:tblPr>
        <w:tblStyle w:val="15"/>
        <w:tblW w:w="86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2"/>
        <w:gridCol w:w="2223"/>
        <w:gridCol w:w="1413"/>
        <w:gridCol w:w="1605"/>
        <w:gridCol w:w="18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2" w:hRule="atLeast"/>
        </w:trPr>
        <w:tc>
          <w:tcPr>
            <w:tcW w:w="1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序号</w:t>
            </w:r>
          </w:p>
        </w:tc>
        <w:tc>
          <w:tcPr>
            <w:tcW w:w="2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项目名称</w:t>
            </w:r>
          </w:p>
        </w:tc>
        <w:tc>
          <w:tcPr>
            <w:tcW w:w="1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2025年预算数（万元）</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2025年执行数（万元）</w:t>
            </w: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预算执行总体进度（%）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9" w:hRule="atLeast"/>
        </w:trPr>
        <w:tc>
          <w:tcPr>
            <w:tcW w:w="1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2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2025年浙江援建项目-浙爱暖心行囊</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157.81</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000000"/>
                <w:kern w:val="0"/>
                <w:sz w:val="20"/>
                <w:szCs w:val="20"/>
                <w:u w:val="none"/>
                <w:lang w:val="en-US" w:eastAsia="zh-CN" w:bidi="ar"/>
              </w:rPr>
              <w:t>157.81</w:t>
            </w: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9" w:hRule="atLeast"/>
        </w:trPr>
        <w:tc>
          <w:tcPr>
            <w:tcW w:w="1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2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“爱润阿坝”阿坝州群众工作主题晚会</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77.97</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000000"/>
                <w:kern w:val="0"/>
                <w:sz w:val="20"/>
                <w:szCs w:val="20"/>
                <w:u w:val="none"/>
                <w:lang w:val="en-US" w:eastAsia="zh-CN" w:bidi="ar"/>
              </w:rPr>
              <w:t>77.97</w:t>
            </w: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9" w:hRule="atLeast"/>
        </w:trPr>
        <w:tc>
          <w:tcPr>
            <w:tcW w:w="1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2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2025年度妇女儿童事业发展专项资金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23.90</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000000"/>
                <w:kern w:val="0"/>
                <w:sz w:val="20"/>
                <w:szCs w:val="20"/>
                <w:u w:val="none"/>
                <w:lang w:val="en-US" w:eastAsia="zh-CN" w:bidi="ar"/>
              </w:rPr>
              <w:t>23.90</w:t>
            </w: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1" w:hRule="atLeast"/>
        </w:trPr>
        <w:tc>
          <w:tcPr>
            <w:tcW w:w="16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2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“净土阿妹”巾帼家政标准化培训项目经费</w:t>
            </w:r>
          </w:p>
        </w:tc>
        <w:tc>
          <w:tcPr>
            <w:tcW w:w="1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20.49</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000000"/>
                <w:kern w:val="0"/>
                <w:sz w:val="20"/>
                <w:szCs w:val="20"/>
                <w:u w:val="none"/>
                <w:lang w:val="en-US" w:eastAsia="zh-CN" w:bidi="ar"/>
              </w:rPr>
              <w:t>20.49</w:t>
            </w: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firstLineChars="20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eastAsia="仿宋_GB2312" w:cs="Times New Roman"/>
          <w:b/>
          <w:bCs/>
          <w:color w:val="000000"/>
          <w:kern w:val="0"/>
          <w:sz w:val="32"/>
          <w:szCs w:val="32"/>
          <w:highlight w:val="none"/>
          <w:shd w:val="clear" w:color="auto"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eastAsia="仿宋_GB2312" w:cs="Times New Roman"/>
          <w:b/>
          <w:bCs/>
          <w:color w:val="000000"/>
          <w:kern w:val="0"/>
          <w:sz w:val="32"/>
          <w:szCs w:val="32"/>
          <w:highlight w:val="none"/>
          <w:shd w:val="clear" w:color="auto" w:fill="FFFFFF"/>
          <w:lang w:val="en-US" w:eastAsia="zh-CN"/>
        </w:rPr>
        <w:t>1.</w:t>
      </w:r>
      <w:r>
        <w:rPr>
          <w:rFonts w:hint="default" w:ascii="Times New Roman" w:hAnsi="Times New Roman" w:eastAsia="仿宋_GB2312" w:cs="Times New Roman"/>
          <w:b/>
          <w:bCs/>
          <w:color w:val="000000"/>
          <w:kern w:val="0"/>
          <w:sz w:val="32"/>
          <w:szCs w:val="32"/>
          <w:highlight w:val="none"/>
          <w:shd w:val="clear" w:color="auto" w:fill="FFFFFF"/>
          <w:lang w:val="zh-CN" w:eastAsia="zh-CN"/>
        </w:rPr>
        <w:t>项目决策</w:t>
      </w:r>
      <w:r>
        <w:rPr>
          <w:rFonts w:hint="eastAsia" w:ascii="Times New Roman" w:hAnsi="Times New Roman" w:eastAsia="仿宋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b/>
          <w:bCs/>
          <w:color w:val="000000"/>
          <w:kern w:val="0"/>
          <w:sz w:val="32"/>
          <w:szCs w:val="32"/>
          <w:highlight w:val="none"/>
          <w:shd w:val="clear" w:color="auto" w:fill="FFFFFF"/>
          <w:lang w:val="en-US" w:eastAsia="zh-CN"/>
        </w:rPr>
        <w:t>12分</w:t>
      </w:r>
      <w:r>
        <w:rPr>
          <w:rFonts w:hint="eastAsia" w:ascii="Times New Roman" w:hAnsi="Times New Roman" w:eastAsia="仿宋_GB2312" w:cs="Times New Roman"/>
          <w:b/>
          <w:bCs/>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决策程序</w:t>
      </w:r>
      <w:r>
        <w:rPr>
          <w:rFonts w:hint="eastAsia"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我会年初预算</w:t>
      </w:r>
      <w:r>
        <w:rPr>
          <w:rFonts w:hint="default" w:ascii="Times New Roman" w:hAnsi="Times New Roman" w:eastAsia="仿宋_GB2312" w:cs="Times New Roman"/>
          <w:color w:val="000000"/>
          <w:kern w:val="0"/>
          <w:sz w:val="32"/>
          <w:szCs w:val="32"/>
          <w:highlight w:val="none"/>
          <w:shd w:val="clear" w:color="auto" w:fill="FFFFFF"/>
          <w:lang w:val="zh-CN" w:eastAsia="zh-CN"/>
        </w:rPr>
        <w:t>各</w:t>
      </w:r>
      <w:r>
        <w:rPr>
          <w:rFonts w:hint="eastAsia" w:ascii="Times New Roman" w:hAnsi="Times New Roman" w:eastAsia="仿宋_GB2312" w:cs="Times New Roman"/>
          <w:color w:val="000000"/>
          <w:kern w:val="0"/>
          <w:sz w:val="32"/>
          <w:szCs w:val="32"/>
          <w:highlight w:val="none"/>
          <w:shd w:val="clear" w:color="auto" w:fill="FFFFFF"/>
          <w:lang w:val="en-US" w:eastAsia="zh-CN"/>
        </w:rPr>
        <w:t>项目</w:t>
      </w:r>
      <w:r>
        <w:rPr>
          <w:rFonts w:hint="default" w:ascii="Times New Roman" w:hAnsi="Times New Roman" w:eastAsia="仿宋_GB2312" w:cs="Times New Roman"/>
          <w:color w:val="000000"/>
          <w:kern w:val="0"/>
          <w:sz w:val="32"/>
          <w:szCs w:val="32"/>
          <w:highlight w:val="none"/>
          <w:shd w:val="clear" w:color="auto" w:fill="FFFFFF"/>
          <w:lang w:val="zh-CN" w:eastAsia="zh-CN"/>
        </w:rPr>
        <w:t>紧扣</w:t>
      </w:r>
      <w:r>
        <w:rPr>
          <w:rFonts w:hint="eastAsia" w:ascii="Times New Roman" w:hAnsi="Times New Roman" w:eastAsia="仿宋_GB2312" w:cs="Times New Roman"/>
          <w:color w:val="000000"/>
          <w:kern w:val="0"/>
          <w:sz w:val="32"/>
          <w:szCs w:val="32"/>
          <w:highlight w:val="none"/>
          <w:shd w:val="clear" w:color="auto" w:fill="FFFFFF"/>
          <w:lang w:val="en-US" w:eastAsia="zh-CN"/>
        </w:rPr>
        <w:t>中央、</w:t>
      </w:r>
      <w:r>
        <w:rPr>
          <w:rFonts w:hint="default" w:ascii="Times New Roman" w:hAnsi="Times New Roman" w:eastAsia="仿宋_GB2312" w:cs="Times New Roman"/>
          <w:color w:val="000000"/>
          <w:kern w:val="0"/>
          <w:sz w:val="32"/>
          <w:szCs w:val="32"/>
          <w:highlight w:val="none"/>
          <w:shd w:val="clear" w:color="auto" w:fill="FFFFFF"/>
          <w:lang w:val="zh-CN" w:eastAsia="zh-CN"/>
        </w:rPr>
        <w:t>省级及州委</w:t>
      </w:r>
      <w:r>
        <w:rPr>
          <w:rFonts w:hint="eastAsia" w:ascii="Times New Roman" w:hAnsi="Times New Roman" w:eastAsia="仿宋_GB2312" w:cs="Times New Roman"/>
          <w:color w:val="000000"/>
          <w:kern w:val="0"/>
          <w:sz w:val="32"/>
          <w:szCs w:val="32"/>
          <w:highlight w:val="none"/>
          <w:shd w:val="clear" w:color="auto" w:fill="FFFFFF"/>
          <w:lang w:val="en-US" w:eastAsia="zh-CN"/>
        </w:rPr>
        <w:t>关于关爱妇女儿童、家风家教建设、乡村振兴等</w:t>
      </w:r>
      <w:r>
        <w:rPr>
          <w:rFonts w:hint="eastAsia" w:eastAsia="仿宋_GB2312" w:cs="Times New Roman"/>
          <w:color w:val="000000"/>
          <w:kern w:val="0"/>
          <w:sz w:val="32"/>
          <w:szCs w:val="32"/>
          <w:highlight w:val="none"/>
          <w:shd w:val="clear" w:color="auto" w:fill="FFFFFF"/>
          <w:lang w:val="en-US" w:eastAsia="zh-CN"/>
        </w:rPr>
        <w:t>相关</w:t>
      </w:r>
      <w:r>
        <w:rPr>
          <w:rFonts w:hint="default" w:ascii="Times New Roman" w:hAnsi="Times New Roman" w:eastAsia="仿宋_GB2312" w:cs="Times New Roman"/>
          <w:color w:val="000000"/>
          <w:kern w:val="0"/>
          <w:sz w:val="32"/>
          <w:szCs w:val="32"/>
          <w:highlight w:val="none"/>
          <w:shd w:val="clear" w:color="auto" w:fill="FFFFFF"/>
          <w:lang w:val="zh-CN" w:eastAsia="zh-CN"/>
        </w:rPr>
        <w:t>要求，结合基层调研形成基础决策</w:t>
      </w:r>
      <w:r>
        <w:rPr>
          <w:rFonts w:hint="eastAsia" w:eastAsia="仿宋_GB2312" w:cs="Times New Roman"/>
          <w:color w:val="000000"/>
          <w:kern w:val="0"/>
          <w:sz w:val="32"/>
          <w:szCs w:val="32"/>
          <w:highlight w:val="none"/>
          <w:shd w:val="clear" w:color="auto" w:fill="FFFFFF"/>
          <w:lang w:val="zh-CN" w:eastAsia="zh-CN"/>
        </w:rPr>
        <w:t>；</w:t>
      </w:r>
      <w:r>
        <w:rPr>
          <w:rFonts w:hint="eastAsia" w:eastAsia="仿宋_GB2312" w:cs="Times New Roman"/>
          <w:color w:val="000000"/>
          <w:kern w:val="0"/>
          <w:sz w:val="32"/>
          <w:szCs w:val="32"/>
          <w:highlight w:val="none"/>
          <w:shd w:val="clear" w:color="auto" w:fill="FFFFFF"/>
          <w:lang w:val="en-US" w:eastAsia="zh-CN"/>
        </w:rPr>
        <w:t>所有项目（包括阶段性、一次性项目）均开展事前评</w:t>
      </w:r>
      <w:r>
        <w:rPr>
          <w:rFonts w:hint="eastAsia" w:ascii="仿宋_GB2312" w:hAnsi="微软雅黑" w:eastAsia="仿宋_GB2312" w:cs="宋体"/>
          <w:color w:val="000000" w:themeColor="text1"/>
          <w:kern w:val="0"/>
          <w:sz w:val="32"/>
          <w:szCs w:val="32"/>
          <w14:textFill>
            <w14:solidFill>
              <w14:schemeClr w14:val="tx1"/>
            </w14:solidFill>
          </w14:textFill>
        </w:rPr>
        <w:t>估程序，按规定申报项目</w:t>
      </w:r>
      <w:r>
        <w:rPr>
          <w:rFonts w:hint="eastAsia" w:ascii="仿宋_GB2312" w:hAnsi="微软雅黑" w:eastAsia="仿宋_GB2312" w:cs="宋体"/>
          <w:color w:val="000000" w:themeColor="text1"/>
          <w:kern w:val="0"/>
          <w:sz w:val="32"/>
          <w:szCs w:val="32"/>
          <w:lang w:eastAsia="zh-CN"/>
          <w14:textFill>
            <w14:solidFill>
              <w14:schemeClr w14:val="tx1"/>
            </w14:solidFill>
          </w14:textFill>
        </w:rPr>
        <w:t>，</w:t>
      </w:r>
      <w:r>
        <w:rPr>
          <w:rFonts w:hint="eastAsia" w:ascii="仿宋_GB2312" w:hAnsi="微软雅黑" w:eastAsia="仿宋_GB2312" w:cs="宋体"/>
          <w:color w:val="000000" w:themeColor="text1"/>
          <w:kern w:val="0"/>
          <w:sz w:val="32"/>
          <w:szCs w:val="32"/>
          <w:lang w:val="en-US" w:eastAsia="zh-CN"/>
          <w14:textFill>
            <w14:solidFill>
              <w14:schemeClr w14:val="tx1"/>
            </w14:solidFill>
          </w14:textFill>
        </w:rPr>
        <w:t>并</w:t>
      </w:r>
      <w:r>
        <w:rPr>
          <w:rFonts w:hint="default" w:ascii="Times New Roman" w:hAnsi="Times New Roman" w:eastAsia="仿宋_GB2312" w:cs="Times New Roman"/>
          <w:color w:val="000000"/>
          <w:kern w:val="0"/>
          <w:sz w:val="32"/>
          <w:szCs w:val="32"/>
          <w:highlight w:val="none"/>
          <w:shd w:val="clear" w:color="auto" w:fill="FFFFFF"/>
          <w:lang w:val="zh-CN" w:eastAsia="zh-CN"/>
        </w:rPr>
        <w:t>通过专题调研、</w:t>
      </w:r>
      <w:r>
        <w:rPr>
          <w:rFonts w:hint="eastAsia" w:ascii="Times New Roman" w:hAnsi="Times New Roman" w:eastAsia="仿宋_GB2312" w:cs="Times New Roman"/>
          <w:color w:val="000000"/>
          <w:kern w:val="0"/>
          <w:sz w:val="32"/>
          <w:szCs w:val="32"/>
          <w:highlight w:val="none"/>
          <w:shd w:val="clear" w:color="auto" w:fill="FFFFFF"/>
          <w:lang w:val="en-US" w:eastAsia="zh-CN"/>
        </w:rPr>
        <w:t>党组研究</w:t>
      </w:r>
      <w:r>
        <w:rPr>
          <w:rFonts w:hint="eastAsia" w:eastAsia="仿宋_GB2312" w:cs="Times New Roman"/>
          <w:color w:val="000000"/>
          <w:kern w:val="0"/>
          <w:sz w:val="32"/>
          <w:szCs w:val="32"/>
          <w:highlight w:val="none"/>
          <w:shd w:val="clear" w:color="auto" w:fill="FFFFFF"/>
          <w:lang w:val="en-US" w:eastAsia="zh-CN"/>
        </w:rPr>
        <w:t>确定</w:t>
      </w:r>
      <w:r>
        <w:rPr>
          <w:rFonts w:hint="eastAsia" w:ascii="Times New Roman" w:hAnsi="Times New Roman" w:eastAsia="仿宋_GB2312" w:cs="Times New Roman"/>
          <w:color w:val="000000"/>
          <w:kern w:val="0"/>
          <w:sz w:val="32"/>
          <w:szCs w:val="32"/>
          <w:highlight w:val="none"/>
          <w:shd w:val="clear" w:color="auto" w:fill="FFFFFF"/>
          <w:lang w:val="en-US" w:eastAsia="zh-CN"/>
        </w:rPr>
        <w:t>立项，</w:t>
      </w:r>
      <w:r>
        <w:rPr>
          <w:rFonts w:hint="default" w:ascii="Times New Roman" w:hAnsi="Times New Roman" w:eastAsia="仿宋_GB2312" w:cs="Times New Roman"/>
          <w:color w:val="000000"/>
          <w:kern w:val="0"/>
          <w:sz w:val="32"/>
          <w:szCs w:val="32"/>
          <w:highlight w:val="none"/>
          <w:shd w:val="clear" w:color="auto" w:fill="FFFFFF"/>
          <w:lang w:val="zh-CN" w:eastAsia="zh-CN"/>
        </w:rPr>
        <w:t>符合决策程序</w:t>
      </w:r>
      <w:r>
        <w:rPr>
          <w:rFonts w:hint="eastAsia" w:eastAsia="仿宋_GB2312" w:cs="Times New Roman"/>
          <w:color w:val="000000"/>
          <w:kern w:val="0"/>
          <w:sz w:val="32"/>
          <w:szCs w:val="32"/>
          <w:highlight w:val="none"/>
          <w:shd w:val="clear" w:color="auto" w:fill="FFFFFF"/>
          <w:lang w:val="zh-CN" w:eastAsia="zh-CN"/>
        </w:rPr>
        <w:t>，</w:t>
      </w:r>
      <w:r>
        <w:rPr>
          <w:rFonts w:hint="eastAsia" w:eastAsia="仿宋_GB2312" w:cs="Times New Roman"/>
          <w:color w:val="000000"/>
          <w:kern w:val="0"/>
          <w:sz w:val="32"/>
          <w:szCs w:val="32"/>
          <w:highlight w:val="none"/>
          <w:shd w:val="clear" w:color="auto" w:fill="FFFFFF"/>
          <w:lang w:val="en-US" w:eastAsia="zh-CN"/>
        </w:rPr>
        <w:t>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目标设置</w:t>
      </w:r>
      <w:r>
        <w:rPr>
          <w:rFonts w:hint="eastAsia" w:eastAsia="仿宋_GB2312" w:cs="Times New Roman"/>
          <w:color w:val="000000"/>
          <w:kern w:val="0"/>
          <w:sz w:val="32"/>
          <w:szCs w:val="32"/>
          <w:highlight w:val="none"/>
          <w:shd w:val="clear" w:color="auto" w:fill="FFFFFF"/>
          <w:lang w:val="en-US" w:eastAsia="zh-CN"/>
        </w:rPr>
        <w:t>。我会预算项目绩效目标与计划期内的任务量、预算安排的资金量匹配，绩效目标均为业务部室自行依据客观情况设置，科学合理、规范完整、可量化。得4分。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项目入库</w:t>
      </w:r>
      <w:r>
        <w:rPr>
          <w:rFonts w:hint="eastAsia" w:eastAsia="仿宋_GB2312" w:cs="Times New Roman"/>
          <w:color w:val="000000"/>
          <w:kern w:val="0"/>
          <w:sz w:val="32"/>
          <w:szCs w:val="32"/>
          <w:highlight w:val="none"/>
          <w:shd w:val="clear" w:color="auto" w:fill="FFFFFF"/>
          <w:lang w:val="en-US" w:eastAsia="zh-CN"/>
        </w:rPr>
        <w:t>。我会项目入库均在时限内入库，无超时限入库情况，得4分。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2.</w:t>
      </w:r>
      <w:r>
        <w:rPr>
          <w:rFonts w:hint="default" w:ascii="Times New Roman" w:hAnsi="Times New Roman" w:eastAsia="仿宋_GB2312" w:cs="Times New Roman"/>
          <w:b/>
          <w:bCs/>
          <w:color w:val="000000"/>
          <w:kern w:val="0"/>
          <w:sz w:val="32"/>
          <w:szCs w:val="32"/>
          <w:highlight w:val="none"/>
          <w:shd w:val="clear" w:color="auto" w:fill="FFFFFF"/>
          <w:lang w:val="en-US" w:eastAsia="zh-CN"/>
        </w:rPr>
        <w:t>项目执行</w:t>
      </w:r>
      <w:r>
        <w:rPr>
          <w:rFonts w:hint="eastAsia" w:ascii="Times New Roman" w:hAnsi="Times New Roman" w:eastAsia="仿宋_GB2312" w:cs="Times New Roman"/>
          <w:b/>
          <w:bCs/>
          <w:color w:val="000000"/>
          <w:kern w:val="0"/>
          <w:sz w:val="32"/>
          <w:szCs w:val="32"/>
          <w:highlight w:val="none"/>
          <w:shd w:val="clear" w:color="auto" w:fill="FFFFFF"/>
          <w:lang w:val="en-US" w:eastAsia="zh-CN"/>
        </w:rPr>
        <w:t>（</w:t>
      </w:r>
      <w:r>
        <w:rPr>
          <w:rFonts w:hint="eastAsia" w:eastAsia="仿宋_GB2312" w:cs="Times New Roman"/>
          <w:b/>
          <w:bCs/>
          <w:color w:val="000000"/>
          <w:kern w:val="0"/>
          <w:sz w:val="32"/>
          <w:szCs w:val="32"/>
          <w:highlight w:val="none"/>
          <w:shd w:val="clear" w:color="auto" w:fill="FFFFFF"/>
          <w:lang w:val="en-US" w:eastAsia="zh-CN"/>
        </w:rPr>
        <w:t>10</w:t>
      </w:r>
      <w:r>
        <w:rPr>
          <w:rFonts w:hint="eastAsia" w:ascii="Times New Roman" w:hAnsi="Times New Roman" w:eastAsia="仿宋_GB2312" w:cs="Times New Roman"/>
          <w:b/>
          <w:bCs/>
          <w:color w:val="000000"/>
          <w:kern w:val="0"/>
          <w:sz w:val="32"/>
          <w:szCs w:val="32"/>
          <w:highlight w:val="none"/>
          <w:shd w:val="clear" w:color="auto" w:fill="FFFFFF"/>
          <w:lang w:val="en-US" w:eastAsia="zh-CN"/>
        </w:rPr>
        <w:t>分）</w:t>
      </w:r>
      <w:r>
        <w:rPr>
          <w:rFonts w:hint="default" w:ascii="Times New Roman" w:hAnsi="Times New Roman" w:eastAsia="仿宋_GB2312" w:cs="Times New Roman"/>
          <w:b/>
          <w:bCs/>
          <w:color w:val="000000"/>
          <w:kern w:val="0"/>
          <w:sz w:val="32"/>
          <w:szCs w:val="32"/>
          <w:highlight w:val="none"/>
          <w:shd w:val="clear" w:color="auto" w:fill="FFFFFF"/>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t>执行同向</w:t>
      </w:r>
      <w:r>
        <w:rPr>
          <w:rFonts w:hint="eastAsia" w:eastAsia="仿宋_GB2312" w:cs="Times New Roman"/>
          <w:color w:val="000000"/>
          <w:kern w:val="0"/>
          <w:sz w:val="32"/>
          <w:szCs w:val="32"/>
          <w:highlight w:val="none"/>
          <w:shd w:val="clear" w:color="auto" w:fill="FFFFFF"/>
          <w:lang w:val="zh-CN" w:eastAsia="zh-CN"/>
        </w:rPr>
        <w:t>。</w:t>
      </w:r>
      <w:r>
        <w:rPr>
          <w:rFonts w:hint="eastAsia" w:eastAsia="仿宋_GB2312" w:cs="Times New Roman"/>
          <w:color w:val="000000"/>
          <w:kern w:val="0"/>
          <w:sz w:val="32"/>
          <w:szCs w:val="32"/>
          <w:highlight w:val="none"/>
          <w:shd w:val="clear" w:color="auto" w:fill="FFFFFF"/>
          <w:lang w:val="en-US" w:eastAsia="zh-CN"/>
        </w:rPr>
        <w:t>我会2025年14个项目（常年项目9个，一次性项目4个，省专项1个）中，“家庭教育工作经费”项目经党组决议进行工作调整与年初绩效目标存在差异；得分2分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t>项目调整</w:t>
      </w:r>
      <w:r>
        <w:rPr>
          <w:rFonts w:hint="eastAsia" w:eastAsia="仿宋_GB2312" w:cs="Times New Roman"/>
          <w:color w:val="000000"/>
          <w:kern w:val="0"/>
          <w:sz w:val="32"/>
          <w:szCs w:val="32"/>
          <w:highlight w:val="none"/>
          <w:shd w:val="clear" w:color="auto" w:fill="FFFFFF"/>
          <w:lang w:val="zh-CN" w:eastAsia="zh-CN"/>
        </w:rPr>
        <w:t>。</w:t>
      </w:r>
      <w:r>
        <w:rPr>
          <w:rFonts w:hint="eastAsia" w:eastAsia="仿宋_GB2312" w:cs="Times New Roman"/>
          <w:color w:val="000000"/>
          <w:kern w:val="0"/>
          <w:sz w:val="32"/>
          <w:szCs w:val="32"/>
          <w:highlight w:val="none"/>
          <w:shd w:val="clear" w:color="auto" w:fill="FFFFFF"/>
          <w:lang w:val="en-US" w:eastAsia="zh-CN"/>
        </w:rPr>
        <w:t>针对“家庭教育工作经费”项目工作调整及时进行了绩效目标调剂，得4分。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t>执行结果</w:t>
      </w:r>
      <w:r>
        <w:rPr>
          <w:rFonts w:hint="eastAsia" w:eastAsia="仿宋_GB2312" w:cs="Times New Roman"/>
          <w:color w:val="000000"/>
          <w:kern w:val="0"/>
          <w:sz w:val="32"/>
          <w:szCs w:val="32"/>
          <w:highlight w:val="none"/>
          <w:shd w:val="clear" w:color="auto" w:fill="FFFFFF"/>
          <w:lang w:val="zh-CN" w:eastAsia="zh-CN"/>
        </w:rPr>
        <w:t>。</w:t>
      </w:r>
      <w:r>
        <w:rPr>
          <w:rFonts w:hint="eastAsia" w:eastAsia="仿宋_GB2312" w:cs="Times New Roman"/>
          <w:color w:val="000000"/>
          <w:kern w:val="0"/>
          <w:sz w:val="32"/>
          <w:szCs w:val="32"/>
          <w:highlight w:val="none"/>
          <w:shd w:val="clear" w:color="auto" w:fill="FFFFFF"/>
          <w:lang w:val="en-US" w:eastAsia="zh-CN"/>
        </w:rPr>
        <w:t>我会2025年度预算执行率100%，无结余超过10%的项目，得4分。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bCs/>
          <w:color w:val="000000"/>
          <w:kern w:val="0"/>
          <w:sz w:val="32"/>
          <w:szCs w:val="32"/>
          <w:highlight w:val="none"/>
          <w:shd w:val="clear" w:color="auto" w:fill="FFFFFF"/>
          <w:lang w:val="zh-CN" w:eastAsia="zh-CN"/>
        </w:rPr>
      </w:pPr>
      <w:r>
        <w:rPr>
          <w:rFonts w:hint="eastAsia" w:ascii="Times New Roman" w:hAnsi="Times New Roman" w:eastAsia="仿宋_GB2312" w:cs="Times New Roman"/>
          <w:b/>
          <w:bCs/>
          <w:color w:val="000000"/>
          <w:kern w:val="0"/>
          <w:sz w:val="32"/>
          <w:szCs w:val="32"/>
          <w:highlight w:val="none"/>
          <w:shd w:val="clear" w:color="auto" w:fill="FFFFFF"/>
          <w:lang w:val="en-US" w:eastAsia="zh-CN"/>
        </w:rPr>
        <w:t>3.</w:t>
      </w:r>
      <w:r>
        <w:rPr>
          <w:rFonts w:hint="default" w:ascii="Times New Roman" w:hAnsi="Times New Roman" w:eastAsia="仿宋_GB2312" w:cs="Times New Roman"/>
          <w:b/>
          <w:bCs/>
          <w:color w:val="000000"/>
          <w:kern w:val="0"/>
          <w:sz w:val="32"/>
          <w:szCs w:val="32"/>
          <w:highlight w:val="none"/>
          <w:shd w:val="clear" w:color="auto" w:fill="FFFFFF"/>
          <w:lang w:val="zh-CN" w:eastAsia="zh-CN"/>
        </w:rPr>
        <w:t>目标实现</w:t>
      </w:r>
      <w:r>
        <w:rPr>
          <w:rFonts w:hint="eastAsia" w:ascii="Times New Roman" w:hAnsi="Times New Roman" w:eastAsia="仿宋_GB2312" w:cs="Times New Roman"/>
          <w:b/>
          <w:bCs/>
          <w:color w:val="000000"/>
          <w:kern w:val="0"/>
          <w:sz w:val="32"/>
          <w:szCs w:val="32"/>
          <w:highlight w:val="none"/>
          <w:shd w:val="clear" w:color="auto" w:fill="FFFFFF"/>
          <w:lang w:val="en-US" w:eastAsia="zh-CN"/>
        </w:rPr>
        <w:t>(</w:t>
      </w:r>
      <w:r>
        <w:rPr>
          <w:rFonts w:hint="eastAsia" w:eastAsia="仿宋_GB2312" w:cs="Times New Roman"/>
          <w:b/>
          <w:bCs/>
          <w:color w:val="000000"/>
          <w:kern w:val="0"/>
          <w:sz w:val="32"/>
          <w:szCs w:val="32"/>
          <w:highlight w:val="none"/>
          <w:shd w:val="clear" w:color="auto" w:fill="FFFFFF"/>
          <w:lang w:val="en-US" w:eastAsia="zh-CN"/>
        </w:rPr>
        <w:t>9</w:t>
      </w:r>
      <w:r>
        <w:rPr>
          <w:rFonts w:hint="eastAsia" w:ascii="Times New Roman" w:hAnsi="Times New Roman" w:eastAsia="仿宋_GB2312" w:cs="Times New Roman"/>
          <w:b/>
          <w:bCs/>
          <w:color w:val="000000"/>
          <w:kern w:val="0"/>
          <w:sz w:val="32"/>
          <w:szCs w:val="32"/>
          <w:highlight w:val="none"/>
          <w:shd w:val="clear" w:color="auto" w:fill="FFFFFF"/>
          <w:lang w:val="en-US" w:eastAsia="zh-CN"/>
        </w:rPr>
        <w:t>分)</w:t>
      </w:r>
      <w:r>
        <w:rPr>
          <w:rFonts w:hint="default" w:ascii="Times New Roman" w:hAnsi="Times New Roman" w:eastAsia="仿宋_GB2312" w:cs="Times New Roman"/>
          <w:b/>
          <w:bCs/>
          <w:color w:val="000000"/>
          <w:kern w:val="0"/>
          <w:sz w:val="32"/>
          <w:szCs w:val="32"/>
          <w:highlight w:val="none"/>
          <w:shd w:val="clear" w:color="auto" w:fill="FFFFFF"/>
          <w:lang w:val="zh-CN" w:eastAsia="zh-CN"/>
        </w:rPr>
        <w:t>。</w:t>
      </w:r>
    </w:p>
    <w:p>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576" w:lineRule="exact"/>
        <w:ind w:firstLine="642" w:firstLineChars="200"/>
        <w:jc w:val="left"/>
        <w:textAlignment w:val="auto"/>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pP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目标完成情况</w:t>
      </w: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t>2025年度，</w:t>
      </w:r>
      <w:r>
        <w:rPr>
          <w:rFonts w:hint="eastAsia" w:ascii="Times New Roman" w:hAnsi="Times New Roman" w:eastAsia="仿宋_GB2312" w:cs="Times New Roman"/>
          <w:b w:val="0"/>
          <w:bCs w:val="0"/>
          <w:color w:val="000000"/>
          <w:kern w:val="0"/>
          <w:sz w:val="32"/>
          <w:szCs w:val="32"/>
          <w:highlight w:val="none"/>
          <w:shd w:val="clear" w:color="auto" w:fill="FFFFFF"/>
          <w:lang w:val="zh-CN" w:eastAsia="zh-CN" w:bidi="ar-SA"/>
        </w:rPr>
        <w:t>本部门</w:t>
      </w:r>
      <w:r>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t>项目绩效目标完成率为 100%，所有阶段性项目及一次性项目均按期完成既定绩效目标，任务落实到位，该项得4分。</w:t>
      </w:r>
    </w:p>
    <w:p>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576" w:lineRule="exact"/>
        <w:ind w:firstLine="642" w:firstLineChars="200"/>
        <w:jc w:val="left"/>
        <w:textAlignment w:val="auto"/>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pP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目标偏离情况</w:t>
      </w: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t>2025年度，</w:t>
      </w:r>
      <w:r>
        <w:rPr>
          <w:rFonts w:hint="eastAsia" w:ascii="宋体" w:hAnsi="宋体" w:eastAsia="宋体" w:cs="Times New Roman"/>
          <w:b/>
          <w:bCs/>
          <w:color w:val="000000"/>
          <w:kern w:val="0"/>
          <w:sz w:val="27"/>
          <w:szCs w:val="32"/>
          <w:highlight w:val="none"/>
          <w:shd w:val="clear" w:color="auto" w:fill="FFFFFF"/>
          <w:lang w:val="en-US" w:eastAsia="zh-CN" w:bidi="ar"/>
        </w:rPr>
        <w:t>“家庭教育工作经费”</w:t>
      </w:r>
      <w:r>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t>绩效目标数量指标与预期目标存在偏离，</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t>但年终已及时调整，</w:t>
      </w:r>
      <w:r>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t>执行可控，该项得</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t>2</w:t>
      </w:r>
      <w:r>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t>分。</w:t>
      </w:r>
    </w:p>
    <w:p>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576" w:lineRule="exact"/>
        <w:ind w:firstLine="642" w:firstLineChars="200"/>
        <w:jc w:val="left"/>
        <w:textAlignment w:val="auto"/>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pP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实施效果情况</w:t>
      </w:r>
      <w:r>
        <w:rPr>
          <w:rFonts w:hint="eastAsia" w:ascii="Times New Roman" w:hAnsi="Times New Roman" w:eastAsia="仿宋_GB2312" w:cs="Times New Roman"/>
          <w:b/>
          <w:bCs/>
          <w:color w:val="000000"/>
          <w:kern w:val="0"/>
          <w:sz w:val="32"/>
          <w:szCs w:val="32"/>
          <w:highlight w:val="none"/>
          <w:shd w:val="clear" w:color="auto" w:fill="FFFFFF"/>
          <w:lang w:val="zh-CN" w:eastAsia="zh-CN" w:bidi="ar-SA"/>
        </w:rPr>
        <w:t>。</w:t>
      </w:r>
      <w:r>
        <w:rPr>
          <w:rFonts w:hint="eastAsia" w:ascii="Times New Roman" w:hAnsi="Times New Roman" w:eastAsia="仿宋_GB2312" w:cs="Times New Roman"/>
          <w:b w:val="0"/>
          <w:bCs w:val="0"/>
          <w:color w:val="000000"/>
          <w:kern w:val="0"/>
          <w:sz w:val="32"/>
          <w:szCs w:val="32"/>
          <w:highlight w:val="none"/>
          <w:shd w:val="clear" w:color="auto" w:fill="FFFFFF"/>
          <w:lang w:val="zh-CN" w:eastAsia="zh-CN" w:bidi="ar-SA"/>
        </w:rPr>
        <w:t>本部门</w:t>
      </w:r>
      <w:r>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t>部门预算阶段性项目（含一次性项目）效益指标均全面完成，实施成效良好，该项得3分</w:t>
      </w:r>
    </w:p>
    <w:p>
      <w:pPr>
        <w:keepNext w:val="0"/>
        <w:keepLines w:val="0"/>
        <w:widowControl/>
        <w:suppressLineNumbers w:val="0"/>
        <w:spacing w:before="0" w:beforeAutospacing="1" w:after="0" w:afterAutospacing="1"/>
        <w:jc w:val="left"/>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仿宋_GB2312" w:cs="Times New Roman"/>
          <w:b w:val="0"/>
          <w:bCs w:val="0"/>
          <w:color w:val="000000"/>
          <w:kern w:val="0"/>
          <w:sz w:val="32"/>
          <w:szCs w:val="32"/>
          <w:highlight w:val="none"/>
          <w:shd w:val="clear" w:color="auto" w:fill="FFFFFF"/>
          <w:lang w:val="zh-CN" w:eastAsia="zh-CN" w:bidi="ar-SA"/>
        </w:rPr>
        <w:t>。</w:t>
      </w: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（三）绩效结果应用情况。</w:t>
      </w:r>
    </w:p>
    <w:p>
      <w:pPr>
        <w:keepNext w:val="0"/>
        <w:keepLines w:val="0"/>
        <w:pageBreakBefore w:val="0"/>
        <w:widowControl/>
        <w:suppressLineNumbers w:val="0"/>
        <w:kinsoku/>
        <w:wordWrap/>
        <w:overflowPunct/>
        <w:topLinePunct w:val="0"/>
        <w:autoSpaceDE/>
        <w:autoSpaceDN/>
        <w:bidi w:val="0"/>
        <w:adjustRightInd/>
        <w:snapToGrid/>
        <w:spacing w:line="576" w:lineRule="exact"/>
        <w:ind w:firstLine="642" w:firstLineChars="200"/>
        <w:jc w:val="left"/>
        <w:textAlignment w:val="auto"/>
        <w:outlineLvl w:val="9"/>
        <w:rPr>
          <w:rFonts w:hint="default" w:ascii="Times New Roman" w:hAnsi="Times New Roman" w:eastAsia="仿宋_GB2312" w:cs="Times New Roman"/>
          <w:b/>
          <w:bCs w:val="0"/>
          <w:szCs w:val="32"/>
        </w:rPr>
      </w:pPr>
      <w:r>
        <w:rPr>
          <w:rFonts w:hint="eastAsia" w:ascii="Times New Roman" w:hAnsi="Times New Roman" w:eastAsia="仿宋_GB2312" w:cs="Times New Roman"/>
          <w:b/>
          <w:bCs/>
          <w:color w:val="000000"/>
          <w:kern w:val="0"/>
          <w:sz w:val="32"/>
          <w:szCs w:val="32"/>
          <w:highlight w:val="none"/>
          <w:shd w:val="clear" w:color="auto" w:fill="FFFFFF"/>
          <w:lang w:val="en-US" w:eastAsia="zh-CN" w:bidi="ar-SA"/>
        </w:rPr>
        <w:t>内部应用情况。</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t>绩效评价结果深度融入部门管理决策，通过定期财务分析会议将绩效自评发现的预算编制偏差、支出进度等问题纳入整改清单。针对“家庭教育工作经费”项目执行同向性不足的问题，建立动态调整机制，优化资源配置流程，将绩效目标完成情况与2026年项目立项直接挂钩，强化结果导向。</w:t>
      </w:r>
      <w:r>
        <w:rPr>
          <w:rFonts w:hint="eastAsia" w:ascii="Times New Roman" w:hAnsi="Times New Roman" w:eastAsia="仿宋_GB2312" w:cs="Times New Roman"/>
          <w:b/>
          <w:bCs/>
          <w:color w:val="000000"/>
          <w:kern w:val="0"/>
          <w:sz w:val="32"/>
          <w:szCs w:val="32"/>
          <w:highlight w:val="none"/>
          <w:shd w:val="clear" w:color="auto" w:fill="FFFFFF"/>
          <w:lang w:val="en-US" w:eastAsia="zh-CN" w:bidi="ar-SA"/>
        </w:rPr>
        <w:t>信息公开情况。</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t>严格执行预决算公开制度，通过“阿坝妇联”微信公众号发布妇女儿童项目资金使用成效信息；在州政府门户网站公示部门整体绩效自评报告及项目绩效表，主动接受社会监督。</w:t>
      </w:r>
      <w:r>
        <w:rPr>
          <w:rFonts w:hint="eastAsia" w:ascii="Times New Roman" w:hAnsi="Times New Roman" w:eastAsia="仿宋_GB2312" w:cs="Times New Roman"/>
          <w:b/>
          <w:bCs/>
          <w:color w:val="000000"/>
          <w:kern w:val="0"/>
          <w:sz w:val="32"/>
          <w:szCs w:val="32"/>
          <w:highlight w:val="none"/>
          <w:shd w:val="clear" w:color="auto" w:fill="FFFFFF"/>
          <w:lang w:val="en-US" w:eastAsia="zh-CN" w:bidi="ar-SA"/>
        </w:rPr>
        <w:t>整改反馈情况。</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t>建立“问题销号+跟踪问效”双机制，对预算编制质量（得分</w:t>
      </w:r>
      <w:r>
        <w:rPr>
          <w:rFonts w:hint="eastAsia" w:eastAsia="仿宋_GB2312" w:cs="Times New Roman"/>
          <w:b w:val="0"/>
          <w:bCs w:val="0"/>
          <w:color w:val="000000"/>
          <w:kern w:val="0"/>
          <w:sz w:val="32"/>
          <w:szCs w:val="32"/>
          <w:highlight w:val="none"/>
          <w:shd w:val="clear" w:color="auto" w:fill="FFFFFF"/>
          <w:lang w:val="en-US" w:eastAsia="zh-CN" w:bidi="ar-SA"/>
        </w:rPr>
        <w:t>5.99</w:t>
      </w:r>
      <w:r>
        <w:rPr>
          <w:rFonts w:hint="eastAsia" w:ascii="Times New Roman" w:hAnsi="Times New Roman" w:eastAsia="仿宋_GB2312" w:cs="Times New Roman"/>
          <w:b w:val="0"/>
          <w:bCs w:val="0"/>
          <w:color w:val="000000"/>
          <w:kern w:val="0"/>
          <w:sz w:val="32"/>
          <w:szCs w:val="32"/>
          <w:highlight w:val="none"/>
          <w:shd w:val="clear" w:color="auto" w:fill="FFFFFF"/>
          <w:lang w:val="en-US" w:eastAsia="zh-CN" w:bidi="ar-SA"/>
        </w:rPr>
        <w:t>/8）和严控一般性支出（得分0/5）等薄弱环节制定专项整改方案。针对州财政局反馈的绩效目标量化不足问题，组织业务科室开展绩效指标标准化培训2期，确保2026年项目绩效指标可衡量性达100%。</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contextualSpacing/>
        <w:textAlignment w:val="auto"/>
        <w:outlineLvl w:val="9"/>
        <w:rPr>
          <w:rFonts w:hint="default" w:ascii="Times New Roman" w:hAnsi="Times New Roman" w:eastAsia="黑体" w:cs="Times New Roman"/>
          <w:color w:val="000000"/>
          <w:kern w:val="0"/>
          <w:sz w:val="32"/>
          <w:szCs w:val="32"/>
          <w:highlight w:val="none"/>
          <w:shd w:val="clear" w:color="auto" w:fill="FFFFFF"/>
          <w:lang w:eastAsia="zh-CN"/>
        </w:rPr>
      </w:pPr>
      <w:r>
        <w:rPr>
          <w:rFonts w:hint="default" w:ascii="Times New Roman" w:hAnsi="Times New Roman" w:eastAsia="黑体" w:cs="Times New Roman"/>
          <w:color w:val="000000"/>
          <w:kern w:val="0"/>
          <w:sz w:val="32"/>
          <w:szCs w:val="32"/>
          <w:highlight w:val="none"/>
          <w:shd w:val="clear" w:color="auto" w:fill="FFFFFF"/>
          <w:lang w:eastAsia="zh-CN"/>
        </w:rPr>
        <w:t>四、评价结论及建议</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contextualSpacing/>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（一）评价结论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contextualSpacing/>
        <w:textAlignment w:val="auto"/>
        <w:outlineLvl w:val="9"/>
        <w:rPr>
          <w:rFonts w:hint="eastAsia" w:eastAsia="仿宋_GB2312" w:cs="Times New Roman"/>
          <w:strike w:val="0"/>
          <w:sz w:val="32"/>
          <w:szCs w:val="32"/>
          <w:u w:val="none"/>
          <w:lang w:val="en-US" w:eastAsia="zh-CN" w:bidi="ar"/>
        </w:rPr>
      </w:pPr>
      <w:r>
        <w:rPr>
          <w:rFonts w:hint="eastAsia" w:eastAsia="仿宋_GB2312" w:cs="Times New Roman"/>
          <w:strike w:val="0"/>
          <w:sz w:val="32"/>
          <w:szCs w:val="32"/>
          <w:u w:val="none"/>
          <w:lang w:val="en-US" w:eastAsia="zh-CN" w:bidi="ar"/>
        </w:rPr>
        <w:t>2025 年度，阿坝州妇女联合会部门预算绩效自评得分 87.17分（满分100分），整体绩效水平优良，各项预期绩效目标基本如期实现。单位在思想引领、组织建设、妇女儿童权益维护、家庭家风建设等重点工作上成效突出，财政资金使用合规高效，项目执行率达100%，有力保障全州妇女儿童事业持续健康发展。同时，在预算编制精准度、一般性支出管控、部分项目执行与绩效目标同向性等方面仍存在不足，需持续优化提升。</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contextualSpacing/>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（二）存在问题</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contextualSpacing/>
        <w:textAlignment w:val="auto"/>
        <w:outlineLvl w:val="9"/>
        <w:rPr>
          <w:rFonts w:hint="default" w:ascii="Times New Roman" w:hAnsi="Times New Roman" w:eastAsia="仿宋_GB2312" w:cs="Times New Roman"/>
          <w:b w:val="0"/>
          <w:bCs w:val="0"/>
          <w:strike w:val="0"/>
          <w:sz w:val="32"/>
          <w:szCs w:val="32"/>
          <w:u w:val="none"/>
          <w:lang w:val="en-US" w:eastAsia="zh-CN" w:bidi="ar"/>
        </w:rPr>
      </w:pPr>
      <w:r>
        <w:rPr>
          <w:rFonts w:hint="default" w:ascii="Times New Roman" w:hAnsi="Times New Roman" w:eastAsia="仿宋_GB2312" w:cs="Times New Roman"/>
          <w:b/>
          <w:bCs/>
          <w:strike w:val="0"/>
          <w:sz w:val="32"/>
          <w:szCs w:val="32"/>
          <w:u w:val="none"/>
          <w:lang w:val="en-US" w:eastAsia="zh-CN" w:bidi="ar"/>
        </w:rPr>
        <w:t>预算编制精准性有待提升。</w:t>
      </w:r>
      <w:r>
        <w:rPr>
          <w:rFonts w:hint="default" w:ascii="Times New Roman" w:hAnsi="Times New Roman" w:eastAsia="仿宋_GB2312" w:cs="Times New Roman"/>
          <w:b w:val="0"/>
          <w:bCs w:val="0"/>
          <w:strike w:val="0"/>
          <w:sz w:val="32"/>
          <w:szCs w:val="32"/>
          <w:u w:val="none"/>
          <w:lang w:val="en-US" w:eastAsia="zh-CN" w:bidi="ar"/>
        </w:rPr>
        <w:t>年中新增浙江援建项目、省级专项资金等，导致预算执行与年初预算存在一定偏离，预算编制的前瞻性、统筹性需进一步增强。</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contextualSpacing/>
        <w:textAlignment w:val="auto"/>
        <w:outlineLvl w:val="9"/>
        <w:rPr>
          <w:rFonts w:hint="default" w:ascii="Times New Roman" w:hAnsi="Times New Roman" w:eastAsia="仿宋_GB2312" w:cs="Times New Roman"/>
          <w:b w:val="0"/>
          <w:bCs w:val="0"/>
          <w:strike w:val="0"/>
          <w:sz w:val="32"/>
          <w:szCs w:val="32"/>
          <w:u w:val="none"/>
          <w:lang w:val="en-US" w:eastAsia="zh-CN" w:bidi="ar"/>
        </w:rPr>
      </w:pPr>
      <w:r>
        <w:rPr>
          <w:rFonts w:hint="default" w:ascii="Times New Roman" w:hAnsi="Times New Roman" w:eastAsia="仿宋_GB2312" w:cs="Times New Roman"/>
          <w:b/>
          <w:bCs/>
          <w:strike w:val="0"/>
          <w:sz w:val="32"/>
          <w:szCs w:val="32"/>
          <w:u w:val="none"/>
          <w:lang w:val="en-US" w:eastAsia="zh-CN" w:bidi="ar"/>
        </w:rPr>
        <w:t>一般性支出管控不够严格。</w:t>
      </w:r>
      <w:r>
        <w:rPr>
          <w:rFonts w:hint="default" w:ascii="Times New Roman" w:hAnsi="Times New Roman" w:eastAsia="仿宋_GB2312" w:cs="Times New Roman"/>
          <w:b w:val="0"/>
          <w:bCs w:val="0"/>
          <w:strike w:val="0"/>
          <w:sz w:val="32"/>
          <w:szCs w:val="32"/>
          <w:u w:val="none"/>
          <w:lang w:val="en-US" w:eastAsia="zh-CN" w:bidi="ar"/>
        </w:rPr>
        <w:t>受新增专项工作影响，会议费、差旅费等一般性支出存在超支情况，厉行节约、严控一般性支出的政策要求落实不够到位。</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contextualSpacing/>
        <w:textAlignment w:val="auto"/>
        <w:outlineLvl w:val="9"/>
        <w:rPr>
          <w:rFonts w:hint="default" w:ascii="Times New Roman" w:hAnsi="Times New Roman" w:eastAsia="仿宋_GB2312" w:cs="Times New Roman"/>
          <w:b w:val="0"/>
          <w:bCs w:val="0"/>
          <w:strike w:val="0"/>
          <w:sz w:val="32"/>
          <w:szCs w:val="32"/>
          <w:u w:val="none"/>
          <w:lang w:val="en-US" w:eastAsia="zh-CN" w:bidi="ar"/>
        </w:rPr>
      </w:pPr>
      <w:r>
        <w:rPr>
          <w:rFonts w:hint="default" w:ascii="Times New Roman" w:hAnsi="Times New Roman" w:eastAsia="仿宋_GB2312" w:cs="Times New Roman"/>
          <w:b/>
          <w:bCs/>
          <w:strike w:val="0"/>
          <w:sz w:val="32"/>
          <w:szCs w:val="32"/>
          <w:u w:val="none"/>
          <w:lang w:val="en-US" w:eastAsia="zh-CN" w:bidi="ar"/>
        </w:rPr>
        <w:t>项目执行同向性存在偏差。</w:t>
      </w:r>
      <w:r>
        <w:rPr>
          <w:rFonts w:hint="default" w:ascii="Times New Roman" w:hAnsi="Times New Roman" w:eastAsia="仿宋_GB2312" w:cs="Times New Roman"/>
          <w:b w:val="0"/>
          <w:bCs w:val="0"/>
          <w:strike w:val="0"/>
          <w:sz w:val="32"/>
          <w:szCs w:val="32"/>
          <w:u w:val="none"/>
          <w:lang w:val="en-US" w:eastAsia="zh-CN" w:bidi="ar"/>
        </w:rPr>
        <w:t>“</w:t>
      </w:r>
      <w:r>
        <w:rPr>
          <w:rFonts w:hint="eastAsia" w:eastAsia="仿宋_GB2312" w:cs="Times New Roman"/>
          <w:b w:val="0"/>
          <w:bCs w:val="0"/>
          <w:strike w:val="0"/>
          <w:sz w:val="32"/>
          <w:szCs w:val="32"/>
          <w:u w:val="none"/>
          <w:lang w:val="en-US" w:eastAsia="zh-CN" w:bidi="ar"/>
        </w:rPr>
        <w:t>家庭教育工作经费</w:t>
      </w:r>
      <w:r>
        <w:rPr>
          <w:rFonts w:hint="default" w:ascii="Times New Roman" w:hAnsi="Times New Roman" w:eastAsia="仿宋_GB2312" w:cs="Times New Roman"/>
          <w:b w:val="0"/>
          <w:bCs w:val="0"/>
          <w:strike w:val="0"/>
          <w:sz w:val="32"/>
          <w:szCs w:val="32"/>
          <w:u w:val="none"/>
          <w:lang w:val="en-US" w:eastAsia="zh-CN" w:bidi="ar"/>
        </w:rPr>
        <w:t>”项目受年中工作调整影响，实际执行情况与既定绩效目标存在差异，项目动态管理和绩效调整机制不够完善。</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contextualSpacing/>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（三）改进建议</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_GB2312" w:cs="Times New Roman"/>
          <w:b w:val="0"/>
          <w:bCs w:val="0"/>
          <w:strike w:val="0"/>
          <w:sz w:val="32"/>
          <w:szCs w:val="32"/>
          <w:u w:val="none"/>
          <w:lang w:val="en-US" w:eastAsia="zh-CN" w:bidi="ar"/>
        </w:rPr>
      </w:pPr>
      <w:r>
        <w:rPr>
          <w:rFonts w:hint="default" w:ascii="Times New Roman" w:hAnsi="Times New Roman" w:eastAsia="仿宋_GB2312" w:cs="Times New Roman"/>
          <w:b/>
          <w:bCs/>
          <w:strike w:val="0"/>
          <w:sz w:val="32"/>
          <w:szCs w:val="32"/>
          <w:u w:val="none"/>
          <w:lang w:val="en-US" w:eastAsia="zh-CN" w:bidi="ar"/>
        </w:rPr>
        <w:t>提升预算编制科学化水平。</w:t>
      </w:r>
      <w:r>
        <w:rPr>
          <w:rFonts w:hint="default" w:ascii="Times New Roman" w:hAnsi="Times New Roman" w:eastAsia="仿宋_GB2312" w:cs="Times New Roman"/>
          <w:b w:val="0"/>
          <w:bCs w:val="0"/>
          <w:strike w:val="0"/>
          <w:sz w:val="32"/>
          <w:szCs w:val="32"/>
          <w:u w:val="none"/>
          <w:lang w:val="en-US" w:eastAsia="zh-CN" w:bidi="ar"/>
        </w:rPr>
        <w:t>深化业务与财务融合，健全跨年度项目储备机制，提前对接浙江援建、省级专项等政策性资金需求，提高预算编制前瞻性。强化财政部门与业务科室协同联动，完善新增项目预算调整预审流程，推动预算安排与重点工作高效衔接。</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_GB2312" w:cs="Times New Roman"/>
          <w:b w:val="0"/>
          <w:bCs w:val="0"/>
          <w:strike w:val="0"/>
          <w:sz w:val="32"/>
          <w:szCs w:val="32"/>
          <w:u w:val="none"/>
          <w:lang w:val="en-US" w:eastAsia="zh-CN" w:bidi="ar"/>
        </w:rPr>
      </w:pPr>
      <w:r>
        <w:rPr>
          <w:rFonts w:hint="default" w:ascii="Times New Roman" w:hAnsi="Times New Roman" w:eastAsia="仿宋_GB2312" w:cs="Times New Roman"/>
          <w:b/>
          <w:bCs/>
          <w:strike w:val="0"/>
          <w:sz w:val="32"/>
          <w:szCs w:val="32"/>
          <w:u w:val="none"/>
          <w:lang w:val="en-US" w:eastAsia="zh-CN" w:bidi="ar"/>
        </w:rPr>
        <w:t>从严规范一般性支出管理。</w:t>
      </w:r>
      <w:r>
        <w:rPr>
          <w:rFonts w:hint="default" w:ascii="Times New Roman" w:hAnsi="Times New Roman" w:eastAsia="仿宋_GB2312" w:cs="Times New Roman"/>
          <w:b w:val="0"/>
          <w:bCs w:val="0"/>
          <w:strike w:val="0"/>
          <w:sz w:val="32"/>
          <w:szCs w:val="32"/>
          <w:u w:val="none"/>
          <w:lang w:val="en-US" w:eastAsia="zh-CN" w:bidi="ar"/>
        </w:rPr>
        <w:t>修订完善单位财务管理办法，细化会议、差旅等经费审批程序，明确新增专项工作经费 “一事一议” 审批流程。建立一般性支出负面清单，对非必要刚性支出实行零基预算管理，积极通过政府购买服务等方式优化行政运行成本。</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_GB2312" w:cs="Times New Roman"/>
          <w:b w:val="0"/>
          <w:bCs w:val="0"/>
          <w:strike w:val="0"/>
          <w:sz w:val="32"/>
          <w:szCs w:val="32"/>
          <w:u w:val="none"/>
          <w:lang w:val="en-US" w:eastAsia="zh-CN" w:bidi="ar"/>
        </w:rPr>
      </w:pPr>
      <w:r>
        <w:rPr>
          <w:rFonts w:hint="default" w:ascii="Times New Roman" w:hAnsi="Times New Roman" w:eastAsia="仿宋_GB2312" w:cs="Times New Roman"/>
          <w:b/>
          <w:bCs/>
          <w:strike w:val="0"/>
          <w:sz w:val="32"/>
          <w:szCs w:val="32"/>
          <w:u w:val="none"/>
          <w:lang w:val="en-US" w:eastAsia="zh-CN" w:bidi="ar"/>
        </w:rPr>
        <w:t>健全项目全过程绩效监控机制。</w:t>
      </w:r>
      <w:r>
        <w:rPr>
          <w:rFonts w:hint="default" w:ascii="Times New Roman" w:hAnsi="Times New Roman" w:eastAsia="仿宋_GB2312" w:cs="Times New Roman"/>
          <w:b w:val="0"/>
          <w:bCs w:val="0"/>
          <w:strike w:val="0"/>
          <w:sz w:val="32"/>
          <w:szCs w:val="32"/>
          <w:u w:val="none"/>
          <w:lang w:val="en-US" w:eastAsia="zh-CN" w:bidi="ar"/>
        </w:rPr>
        <w:t>建立绩效目标动态调整机制，对 “1+N 工作经费” 等执行弹性较大的项目实行季度跟踪评估，按规定程序优化完善绩效指标。将项目执行同向性纳入部室绩效考核，对执行偏差超规定比例的及时约谈提醒，切实提升项目执行精准度。</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trike w:val="0"/>
          <w:sz w:val="32"/>
          <w:szCs w:val="32"/>
          <w:u w:val="none"/>
          <w:lang w:val="en-US" w:eastAsia="zh-CN" w:bidi="ar"/>
        </w:rPr>
      </w:pPr>
      <w:r>
        <w:rPr>
          <w:rFonts w:hint="default" w:ascii="Times New Roman" w:hAnsi="Times New Roman" w:eastAsia="仿宋_GB2312" w:cs="Times New Roman"/>
          <w:strike w:val="0"/>
          <w:sz w:val="32"/>
          <w:szCs w:val="32"/>
          <w:u w:val="none"/>
          <w:lang w:val="en-US" w:eastAsia="zh-CN" w:bidi="ar"/>
        </w:rPr>
        <w:t>通过上述举措，持续提升部门预算管理质效，推动财政资金更加规范、安全、高效使用，更好保障阿坝州妇女儿童事业高质量发展。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Times New Roman"/>
          <w:strike w:val="0"/>
          <w:sz w:val="32"/>
          <w:szCs w:val="32"/>
          <w:u w:val="none"/>
          <w:lang w:val="en-US" w:eastAsia="zh-CN" w:bidi="ar"/>
        </w:rPr>
      </w:pPr>
      <w:r>
        <w:rPr>
          <w:rFonts w:hint="eastAsia" w:eastAsia="仿宋_GB2312" w:cs="Times New Roman"/>
          <w:color w:val="000000"/>
          <w:kern w:val="0"/>
          <w:sz w:val="32"/>
          <w:szCs w:val="32"/>
          <w:highlight w:val="none"/>
          <w:shd w:val="clear" w:color="auto" w:fill="FFFFFF"/>
          <w:lang w:val="en-US" w:eastAsia="zh-CN"/>
        </w:rPr>
        <w:t>附表：1.</w:t>
      </w:r>
      <w:r>
        <w:rPr>
          <w:rFonts w:hint="eastAsia" w:ascii="Times New Roman" w:hAnsi="Times New Roman" w:eastAsia="仿宋_GB2312" w:cs="Times New Roman"/>
          <w:strike w:val="0"/>
          <w:sz w:val="32"/>
          <w:szCs w:val="32"/>
          <w:u w:val="none"/>
          <w:lang w:val="en-US" w:eastAsia="zh-CN" w:bidi="ar"/>
        </w:rPr>
        <w:t>部门预算绩效自评打分表</w:t>
      </w:r>
    </w:p>
    <w:p>
      <w:pPr>
        <w:keepNext w:val="0"/>
        <w:keepLines w:val="0"/>
        <w:pageBreakBefore w:val="0"/>
        <w:kinsoku/>
        <w:wordWrap/>
        <w:overflowPunct/>
        <w:topLinePunct w:val="0"/>
        <w:autoSpaceDE/>
        <w:autoSpaceDN/>
        <w:bidi w:val="0"/>
        <w:spacing w:line="578" w:lineRule="exact"/>
        <w:ind w:firstLine="1600" w:firstLineChars="500"/>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strike w:val="0"/>
          <w:sz w:val="32"/>
          <w:szCs w:val="32"/>
          <w:u w:val="none"/>
          <w:lang w:val="en-US" w:eastAsia="zh-CN" w:bidi="ar"/>
        </w:rPr>
        <w:t>2.</w:t>
      </w:r>
      <w:r>
        <w:rPr>
          <w:rFonts w:hint="default" w:ascii="Times New Roman" w:hAnsi="Times New Roman" w:eastAsia="仿宋_GB2312" w:cs="Times New Roman"/>
          <w:color w:val="000000"/>
          <w:kern w:val="0"/>
          <w:sz w:val="32"/>
          <w:szCs w:val="32"/>
          <w:highlight w:val="none"/>
          <w:shd w:val="clear" w:color="auto" w:fill="FFFFFF"/>
          <w:lang w:val="en-US" w:eastAsia="zh-CN"/>
        </w:rPr>
        <w:t>部门整体绩效目标完成情况自评表</w:t>
      </w:r>
    </w:p>
    <w:p>
      <w:pPr>
        <w:keepNext w:val="0"/>
        <w:keepLines w:val="0"/>
        <w:pageBreakBefore w:val="0"/>
        <w:kinsoku/>
        <w:wordWrap/>
        <w:overflowPunct/>
        <w:topLinePunct w:val="0"/>
        <w:autoSpaceDE/>
        <w:autoSpaceDN/>
        <w:bidi w:val="0"/>
        <w:spacing w:line="578" w:lineRule="exact"/>
        <w:ind w:firstLine="1600" w:firstLineChars="500"/>
        <w:textAlignment w:val="auto"/>
        <w:rPr>
          <w:rFonts w:hint="default" w:ascii="Times New Roman" w:hAnsi="Times New Roman" w:eastAsia="仿宋_GB2312" w:cs="Times New Roman"/>
          <w:strike w:val="0"/>
          <w:sz w:val="32"/>
          <w:szCs w:val="32"/>
          <w:u w:val="none"/>
          <w:lang w:eastAsia="zh-CN" w:bidi="ar"/>
        </w:rPr>
      </w:pP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strike w:val="0"/>
          <w:sz w:val="32"/>
          <w:szCs w:val="32"/>
          <w:u w:val="none"/>
          <w:lang w:bidi="ar"/>
        </w:rPr>
        <w:t>部门预算项目支出绩效</w:t>
      </w:r>
      <w:r>
        <w:rPr>
          <w:rFonts w:hint="default" w:ascii="Times New Roman" w:hAnsi="Times New Roman" w:eastAsia="仿宋_GB2312" w:cs="Times New Roman"/>
          <w:strike w:val="0"/>
          <w:sz w:val="32"/>
          <w:szCs w:val="32"/>
          <w:u w:val="none"/>
          <w:lang w:eastAsia="zh-CN" w:bidi="ar"/>
        </w:rPr>
        <w:t>评价</w:t>
      </w:r>
      <w:r>
        <w:rPr>
          <w:rFonts w:hint="default" w:ascii="Times New Roman" w:hAnsi="Times New Roman" w:eastAsia="仿宋_GB2312" w:cs="Times New Roman"/>
          <w:strike w:val="0"/>
          <w:sz w:val="32"/>
          <w:szCs w:val="32"/>
          <w:u w:val="none"/>
          <w:lang w:bidi="ar"/>
        </w:rPr>
        <w:t>表</w:t>
      </w:r>
      <w:r>
        <w:rPr>
          <w:rFonts w:hint="default" w:ascii="Times New Roman" w:hAnsi="Times New Roman" w:eastAsia="仿宋_GB2312" w:cs="Times New Roman"/>
          <w:strike w:val="0"/>
          <w:sz w:val="32"/>
          <w:szCs w:val="32"/>
          <w:u w:val="none"/>
          <w:lang w:eastAsia="zh-CN" w:bidi="ar"/>
        </w:rPr>
        <w:t>（</w:t>
      </w:r>
      <w:r>
        <w:rPr>
          <w:rFonts w:hint="eastAsia" w:eastAsia="仿宋_GB2312" w:cs="Times New Roman"/>
          <w:strike w:val="0"/>
          <w:sz w:val="32"/>
          <w:szCs w:val="32"/>
          <w:u w:val="none"/>
          <w:lang w:eastAsia="zh-CN" w:bidi="ar"/>
        </w:rPr>
        <w:t>2025</w:t>
      </w:r>
      <w:r>
        <w:rPr>
          <w:rFonts w:hint="default" w:ascii="Times New Roman" w:hAnsi="Times New Roman" w:eastAsia="仿宋_GB2312" w:cs="Times New Roman"/>
          <w:strike w:val="0"/>
          <w:sz w:val="32"/>
          <w:szCs w:val="32"/>
          <w:u w:val="none"/>
          <w:lang w:eastAsia="zh-CN" w:bidi="ar"/>
        </w:rPr>
        <w:t>年度）</w:t>
      </w:r>
    </w:p>
    <w:p>
      <w:pPr>
        <w:widowControl w:val="0"/>
        <w:shd w:val="clear" w:color="auto" w:fill="FFFFFF"/>
        <w:wordWrap w:val="0"/>
        <w:spacing w:before="74" w:beforeAutospacing="0" w:after="74" w:afterAutospacing="0" w:line="576" w:lineRule="exact"/>
        <w:ind w:left="0" w:right="0" w:firstLine="4480" w:firstLineChars="1400"/>
        <w:jc w:val="right"/>
        <w:rPr>
          <w:rFonts w:hint="eastAsia" w:ascii="仿宋_GB2312" w:hAnsi="Times New Roman" w:eastAsia="仿宋_GB2312" w:cs="Times New Roman"/>
          <w:color w:val="000000" w:themeColor="text1"/>
          <w:kern w:val="0"/>
          <w:sz w:val="32"/>
          <w:szCs w:val="32"/>
          <w:lang w:val="en-US" w:eastAsia="zh-CN" w:bidi="ar"/>
          <w14:textFill>
            <w14:solidFill>
              <w14:schemeClr w14:val="tx1"/>
            </w14:solidFill>
          </w14:textFill>
        </w:rPr>
      </w:pPr>
    </w:p>
    <w:p>
      <w:pPr>
        <w:widowControl w:val="0"/>
        <w:shd w:val="clear" w:color="auto" w:fill="FFFFFF"/>
        <w:wordWrap w:val="0"/>
        <w:spacing w:before="74" w:beforeAutospacing="0" w:after="74" w:afterAutospacing="0" w:line="576" w:lineRule="exact"/>
        <w:ind w:left="0" w:right="0" w:firstLine="4480" w:firstLineChars="1400"/>
        <w:jc w:val="right"/>
        <w:rPr>
          <w:rFonts w:hint="eastAsia" w:ascii="仿宋_GB2312" w:hAnsi="Times New Roman" w:eastAsia="仿宋_GB2312" w:cs="Times New Roman"/>
          <w:color w:val="000000" w:themeColor="text1"/>
          <w:kern w:val="0"/>
          <w:sz w:val="32"/>
          <w:szCs w:val="32"/>
          <w:lang w:val="en-US" w:eastAsia="zh-CN" w:bidi="ar"/>
          <w14:textFill>
            <w14:solidFill>
              <w14:schemeClr w14:val="tx1"/>
            </w14:solidFill>
          </w14:textFill>
        </w:rPr>
      </w:pPr>
    </w:p>
    <w:p>
      <w:pPr>
        <w:rPr>
          <w:rFonts w:hint="default" w:eastAsia="仿宋_GB2312"/>
          <w:sz w:val="32"/>
          <w:lang w:eastAsia="zh-CN"/>
        </w:rPr>
      </w:pPr>
    </w:p>
    <w:p>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rPr>
        <w:br w:type="page"/>
      </w: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5"/>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17"/>
        <w:gridCol w:w="5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1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51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17"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517"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总体绩效</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履职效能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部门整体绩效目标中选定3-5个核心职能目标，反映该项职能目标完成效果情况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预算管理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部门是否严格按要求编制年初部门预算，年初预算编制的科学性和准确性</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5.99</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部门统筹自有收入程度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部门1至6月、1至10月预算执行情况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4.18</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部门整体年终预算结余情况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部门严控“三公”经费、会议、培训、差旅、办节办展、办公设备购置、信息网络及软件购置更新、课题经费等8项一般性支出情况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财务管理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部门财务管理制度建立情况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部门财务岗位设置是否符合相关财务管理制度要求</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部门资金使用是否符合相关财务管理制度规定</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资产管理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部门人均资产变化情况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bookmarkStart w:id="98" w:name="OLE_LINK1"/>
            <w:r>
              <w:rPr>
                <w:rFonts w:hint="eastAsia" w:ascii="宋体" w:hAnsi="宋体" w:eastAsia="宋体" w:cs="宋体"/>
                <w:i w:val="0"/>
                <w:color w:val="000000"/>
                <w:kern w:val="0"/>
                <w:sz w:val="22"/>
                <w:szCs w:val="22"/>
                <w:u w:val="none"/>
                <w:lang w:val="en-US" w:eastAsia="zh-CN" w:bidi="ar"/>
              </w:rPr>
              <w:t>部门资产超最低使用年限</w:t>
            </w:r>
            <w:bookmarkEnd w:id="98"/>
            <w:r>
              <w:rPr>
                <w:rFonts w:hint="eastAsia" w:ascii="宋体" w:hAnsi="宋体" w:eastAsia="宋体" w:cs="宋体"/>
                <w:i w:val="0"/>
                <w:color w:val="000000"/>
                <w:kern w:val="0"/>
                <w:sz w:val="22"/>
                <w:szCs w:val="22"/>
                <w:u w:val="none"/>
                <w:lang w:val="en-US" w:eastAsia="zh-CN" w:bidi="ar"/>
              </w:rPr>
              <w:t>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总体绩效</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（65分）</w:t>
            </w:r>
          </w:p>
        </w:tc>
        <w:tc>
          <w:tcPr>
            <w:tcW w:w="1462"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部门闲置一年以上的资产盘活情况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采购管理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部门是否严格执行政府采购促进中小企业发展相关管理办法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部门政府采购项目资金支付比例情况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项目绩效</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项目决策</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部门预算项目设立是否按规定履行评估论证、申报程序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部门预算项目绩效目标与计划期内的任务量、预算安排的资金量匹配情况，绩效目标设置是否科学合理、规范完整、量化细化、预算匹配</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部门预算项目是否在规定时间完成项目入库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项目执行</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部门预算项目实际列支内容是否与绩效目标设置方向相符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部门预算项目是否采取对应调整措施</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部门预算项目预算执行情况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目标实现</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部门预算项目绩效目标数量指标完成情况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部门预算项目绩效目标数量指标实现程度与预期目标的偏离情况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部门预算项目绩效目标效益指标实施效果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扣分项</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被评价对象工作配合情况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2"/>
                <w:szCs w:val="22"/>
                <w:u w:val="none"/>
                <w:lang w:val="en-US" w:eastAsia="zh-CN" w:bidi="ar"/>
              </w:rPr>
            </w:pPr>
          </w:p>
        </w:tc>
      </w:tr>
    </w:tbl>
    <w:p>
      <w:pPr>
        <w:pStyle w:val="19"/>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pPr>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br w:type="page"/>
      </w:r>
    </w:p>
    <w:p>
      <w:pPr>
        <w:keepNext w:val="0"/>
        <w:keepLines w:val="0"/>
        <w:pageBreakBefore w:val="0"/>
        <w:kinsoku/>
        <w:wordWrap/>
        <w:overflowPunct/>
        <w:topLinePunct w:val="0"/>
        <w:autoSpaceDE/>
        <w:autoSpaceDN/>
        <w:bidi w:val="0"/>
        <w:spacing w:line="578" w:lineRule="exact"/>
        <w:jc w:val="left"/>
        <w:textAlignment w:val="auto"/>
        <w:rPr>
          <w:rFonts w:hint="default" w:eastAsia="仿宋_GB2312"/>
          <w:sz w:val="32"/>
          <w:lang w:val="en-US" w:eastAsia="zh-CN"/>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tbl>
      <w:tblPr>
        <w:tblStyle w:val="15"/>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56"/>
        <w:gridCol w:w="1056"/>
        <w:gridCol w:w="1056"/>
        <w:gridCol w:w="1056"/>
        <w:gridCol w:w="1056"/>
        <w:gridCol w:w="1056"/>
        <w:gridCol w:w="1056"/>
        <w:gridCol w:w="1056"/>
        <w:gridCol w:w="1056"/>
        <w:gridCol w:w="10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68" w:hRule="exact"/>
          <w:jc w:val="center"/>
        </w:trPr>
        <w:tc>
          <w:tcPr>
            <w:tcW w:w="10560" w:type="dxa"/>
            <w:gridSpan w:val="10"/>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36"/>
                <w:szCs w:val="36"/>
                <w:u w:val="none"/>
              </w:rPr>
            </w:pPr>
            <w:r>
              <w:rPr>
                <w:rFonts w:hint="eastAsia" w:ascii="方正小标宋简体" w:hAnsi="方正小标宋简体" w:eastAsia="方正小标宋简体" w:cs="方正小标宋简体"/>
                <w:i w:val="0"/>
                <w:iCs w:val="0"/>
                <w:color w:val="000000"/>
                <w:kern w:val="0"/>
                <w:sz w:val="52"/>
                <w:szCs w:val="52"/>
                <w:u w:val="none"/>
                <w:lang w:val="en-US" w:eastAsia="zh-CN" w:bidi="ar"/>
              </w:rPr>
              <w:t>部门整体绩效目标完成情况自评表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w:t>
            </w:r>
            <w:r>
              <w:rPr>
                <w:rFonts w:hint="default" w:ascii="Times New Roman" w:hAnsi="Times New Roman" w:eastAsia="宋体" w:cs="Times New Roman"/>
                <w:i w:val="0"/>
                <w:iCs w:val="0"/>
                <w:color w:val="000000"/>
                <w:kern w:val="0"/>
                <w:sz w:val="36"/>
                <w:szCs w:val="36"/>
                <w:u w:val="none"/>
                <w:lang w:val="en-US" w:eastAsia="zh-CN" w:bidi="ar"/>
              </w:rPr>
              <w:t>2025</w:t>
            </w:r>
            <w:r>
              <w:rPr>
                <w:rFonts w:hint="eastAsia" w:ascii="宋体" w:hAnsi="宋体" w:eastAsia="宋体" w:cs="宋体"/>
                <w:i w:val="0"/>
                <w:iCs w:val="0"/>
                <w:color w:val="000000"/>
                <w:kern w:val="0"/>
                <w:sz w:val="36"/>
                <w:szCs w:val="36"/>
                <w:u w:val="none"/>
                <w:lang w:val="en-US" w:eastAsia="zh-CN" w:bidi="ar"/>
              </w:rPr>
              <w:t>年度</w:t>
            </w:r>
            <w:r>
              <w:rPr>
                <w:rFonts w:hint="eastAsia" w:ascii="宋体" w:hAnsi="宋体" w:cs="宋体"/>
                <w:i w:val="0"/>
                <w:iCs w:val="0"/>
                <w:color w:val="000000"/>
                <w:kern w:val="0"/>
                <w:sz w:val="36"/>
                <w:szCs w:val="36"/>
                <w:u w:val="none"/>
                <w:lang w:val="en-US" w:eastAsia="zh-CN" w:bidi="ar"/>
              </w:rPr>
              <w:t xml:space="preserve">  </w:t>
            </w:r>
            <w:r>
              <w:rPr>
                <w:rFonts w:hint="eastAsia" w:ascii="宋体" w:hAnsi="宋体" w:eastAsia="宋体" w:cs="宋体"/>
                <w:i w:val="0"/>
                <w:iCs w:val="0"/>
                <w:color w:val="000000"/>
                <w:kern w:val="0"/>
                <w:sz w:val="36"/>
                <w:szCs w:val="36"/>
                <w:u w:val="none"/>
                <w:lang w:val="en-US" w:eastAsia="zh-CN" w:bidi="ar"/>
              </w:rPr>
              <w:t>含阿坝州妇女儿童中心）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1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部门名称</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lang w:val="en-US"/>
              </w:rPr>
            </w:pPr>
            <w:r>
              <w:rPr>
                <w:rFonts w:hint="eastAsia" w:ascii="宋体" w:hAnsi="宋体" w:eastAsia="宋体" w:cs="宋体"/>
                <w:i w:val="0"/>
                <w:iCs w:val="0"/>
                <w:color w:val="000000"/>
                <w:kern w:val="0"/>
                <w:sz w:val="28"/>
                <w:szCs w:val="28"/>
                <w:u w:val="none"/>
                <w:lang w:val="en-US" w:eastAsia="zh-CN" w:bidi="ar"/>
              </w:rPr>
              <w:t>阿坝州妇女联合会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年度部门整体支出预算</w:t>
            </w: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资金总额</w:t>
            </w: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财政拨款</w:t>
            </w:r>
          </w:p>
        </w:tc>
        <w:tc>
          <w:tcPr>
            <w:tcW w:w="42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其他资金</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eastAsia="仿宋_GB2312"/>
                <w:sz w:val="3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color w:val="000000"/>
                <w:sz w:val="28"/>
                <w:szCs w:val="28"/>
                <w:u w:val="none"/>
              </w:rPr>
            </w:pP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iCs w:val="0"/>
                <w:color w:val="000000"/>
                <w:kern w:val="0"/>
                <w:sz w:val="32"/>
                <w:szCs w:val="32"/>
                <w:u w:val="none"/>
                <w:lang w:val="en-US" w:eastAsia="zh-CN" w:bidi="ar"/>
              </w:rPr>
              <w:t>920.69</w:t>
            </w: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iCs w:val="0"/>
                <w:color w:val="000000"/>
                <w:kern w:val="0"/>
                <w:sz w:val="32"/>
                <w:szCs w:val="32"/>
                <w:u w:val="none"/>
                <w:lang w:val="en-US" w:eastAsia="zh-CN" w:bidi="ar"/>
              </w:rPr>
              <w:t>920.69</w:t>
            </w:r>
          </w:p>
        </w:tc>
        <w:tc>
          <w:tcPr>
            <w:tcW w:w="42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eastAsia="仿宋_GB2312"/>
                <w:sz w:val="3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年度总体</w:t>
            </w:r>
          </w:p>
        </w:tc>
        <w:tc>
          <w:tcPr>
            <w:tcW w:w="9504"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坚持正确的政治方向，团结、教育全州各族各界妇女在思想上、行动上同党中央保持高度一致；代表妇女参与国家和社会事务的民主管理和民主监督；关注并加强研究涉及妇女切身利益的热点、难点问题，及时向州委、州政府反映社情民意，提出对策建议；依法维护妇女儿童的合法权益；为妇女儿童服务、为基层服务，加强与社会各界的联系，协调推动全社会为妇女儿童办实事，办好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8"/>
                <w:szCs w:val="28"/>
                <w:u w:val="none"/>
                <w:lang w:val="en-US" w:eastAsia="zh-CN" w:bidi="ar"/>
              </w:rPr>
              <w:t>目标</w:t>
            </w:r>
          </w:p>
        </w:tc>
        <w:tc>
          <w:tcPr>
            <w:tcW w:w="9504"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年度主要</w:t>
            </w: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36"/>
                <w:szCs w:val="36"/>
                <w:u w:val="none"/>
              </w:rPr>
            </w:pPr>
            <w:r>
              <w:rPr>
                <w:rFonts w:hint="eastAsia" w:ascii="宋体" w:hAnsi="宋体" w:eastAsia="宋体" w:cs="宋体"/>
                <w:i w:val="0"/>
                <w:iCs w:val="0"/>
                <w:color w:val="000000"/>
                <w:kern w:val="0"/>
                <w:sz w:val="32"/>
                <w:szCs w:val="32"/>
                <w:u w:val="none"/>
                <w:lang w:val="en-US" w:eastAsia="zh-CN" w:bidi="ar"/>
              </w:rPr>
              <w:t>任务名称</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32"/>
                <w:szCs w:val="32"/>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任务</w:t>
            </w: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6"/>
                <w:szCs w:val="36"/>
                <w:u w:val="none"/>
              </w:rPr>
            </w:pPr>
            <w:r>
              <w:rPr>
                <w:rFonts w:hint="eastAsia" w:ascii="宋体" w:hAnsi="宋体" w:eastAsia="宋体" w:cs="宋体"/>
                <w:i w:val="0"/>
                <w:iCs w:val="0"/>
                <w:color w:val="000000"/>
                <w:kern w:val="0"/>
                <w:sz w:val="22"/>
                <w:szCs w:val="22"/>
                <w:u w:val="none"/>
                <w:lang w:val="en-US" w:eastAsia="zh-CN" w:bidi="ar"/>
              </w:rPr>
              <w:t>三八节等节日活动经费</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0"/>
                <w:szCs w:val="20"/>
                <w:u w:val="none"/>
                <w:lang w:val="en-US" w:eastAsia="zh-CN" w:bidi="ar"/>
              </w:rPr>
              <w:t>进一步学习宣传贯彻习近平新时代中国特色社会主义思想，通过广泛开展“巾帼心向党、奋斗新征程”“百千万巾帼大宣讲”等主题活动。开展好“三八”节等纪念活动引导全州妇女听党话、跟党走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left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6"/>
                <w:szCs w:val="36"/>
                <w:u w:val="none"/>
              </w:rPr>
            </w:pPr>
            <w:r>
              <w:rPr>
                <w:rFonts w:hint="eastAsia" w:ascii="宋体" w:hAnsi="宋体" w:eastAsia="宋体" w:cs="宋体"/>
                <w:i w:val="0"/>
                <w:iCs w:val="0"/>
                <w:color w:val="000000"/>
                <w:kern w:val="0"/>
                <w:sz w:val="22"/>
                <w:szCs w:val="22"/>
                <w:u w:val="none"/>
                <w:lang w:val="en-US" w:eastAsia="zh-CN" w:bidi="ar"/>
              </w:rPr>
              <w:t>家庭教育指导服务专项经费</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0"/>
                <w:szCs w:val="20"/>
                <w:u w:val="none"/>
                <w:lang w:val="en-US" w:eastAsia="zh-CN" w:bidi="ar"/>
              </w:rPr>
              <w:t>习近平总书记强调的“重视家庭建设，注重家庭、注重家教、注重家风”深刻阐述了国家发展和家庭建设的辩证关系，强调了家庭在增进社会和谐中的重要作用。家庭是人生第一所学校，家庭是社会最基本的细胞组织，家庭是国家的基石，在推进家庭建设中，不仅需要每个家庭成员的共同努力，也需要妇联等相关部门持续用力、久久为功、积极发挥作用，大力弘扬夫妻和睦、尊老爱幼、科学教子、勤俭节约、邻里互助的家庭道德规范，引导家庭成员培树互爱、诚信、宽容、勤俭、和睦家庭文明新风，这关系到国家长治久安，社会和谐稳定，人民安居乐业，责任重大，意义深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left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6"/>
                <w:szCs w:val="36"/>
                <w:u w:val="none"/>
              </w:rPr>
            </w:pPr>
            <w:r>
              <w:rPr>
                <w:rFonts w:hint="eastAsia" w:ascii="宋体" w:hAnsi="宋体" w:eastAsia="宋体" w:cs="宋体"/>
                <w:i w:val="0"/>
                <w:iCs w:val="0"/>
                <w:color w:val="000000"/>
                <w:kern w:val="0"/>
                <w:sz w:val="22"/>
                <w:szCs w:val="22"/>
                <w:u w:val="none"/>
                <w:lang w:val="en-US" w:eastAsia="zh-CN" w:bidi="ar"/>
              </w:rPr>
              <w:t>妇女儿童工作经费</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0"/>
                <w:szCs w:val="20"/>
                <w:u w:val="none"/>
                <w:lang w:val="en-US" w:eastAsia="zh-CN" w:bidi="ar"/>
              </w:rPr>
              <w:t>关爱帮扶困难妇女儿童并传播科学家教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 w:type="dxa"/>
            <w:tcBorders>
              <w:left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6"/>
                <w:szCs w:val="36"/>
                <w:u w:val="none"/>
              </w:rPr>
            </w:pPr>
            <w:r>
              <w:rPr>
                <w:rFonts w:hint="eastAsia" w:ascii="宋体" w:hAnsi="宋体" w:eastAsia="宋体" w:cs="宋体"/>
                <w:i w:val="0"/>
                <w:iCs w:val="0"/>
                <w:color w:val="000000"/>
                <w:kern w:val="0"/>
                <w:sz w:val="22"/>
                <w:szCs w:val="22"/>
                <w:u w:val="none"/>
                <w:lang w:val="en-US" w:eastAsia="zh-CN" w:bidi="ar"/>
              </w:rPr>
              <w:t>1+N工作经费</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0"/>
                <w:szCs w:val="20"/>
                <w:u w:val="none"/>
                <w:lang w:val="en-US" w:eastAsia="zh-CN" w:bidi="ar"/>
              </w:rPr>
              <w:t>1.20万元用于发展联络部2025年聘请第三方代管省、州妇女居家灵活就业基地（项目评审、咨询、指导、培训、管理等费用）、项目实地督导、开展全国妇联“两癌”患病妇女回访、督导等工作；开展乡村女能人系列活动、乡村振兴巾帼行动等发展联络部业务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left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6"/>
                <w:szCs w:val="36"/>
                <w:u w:val="none"/>
              </w:rPr>
            </w:pP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0"/>
                <w:szCs w:val="20"/>
                <w:u w:val="none"/>
                <w:lang w:val="en-US" w:eastAsia="zh-CN" w:bidi="ar"/>
              </w:rPr>
              <w:t>2.10万元用于妇儿工委办对6哥欠发达县域开展关爱工作。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left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6"/>
                <w:szCs w:val="36"/>
                <w:u w:val="none"/>
              </w:rPr>
            </w:pP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0"/>
                <w:szCs w:val="20"/>
                <w:u w:val="none"/>
                <w:lang w:val="en-US" w:eastAsia="zh-CN" w:bidi="ar"/>
              </w:rPr>
              <w:t>3.15万用于加儿维权部维权工作。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 w:type="dxa"/>
            <w:tcBorders>
              <w:left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6"/>
                <w:szCs w:val="36"/>
                <w:u w:val="none"/>
              </w:rPr>
            </w:pPr>
            <w:r>
              <w:rPr>
                <w:rFonts w:hint="eastAsia" w:ascii="宋体" w:hAnsi="宋体" w:eastAsia="宋体" w:cs="宋体"/>
                <w:i w:val="0"/>
                <w:iCs w:val="0"/>
                <w:color w:val="000000"/>
                <w:kern w:val="0"/>
                <w:sz w:val="22"/>
                <w:szCs w:val="22"/>
                <w:u w:val="none"/>
                <w:lang w:val="en-US" w:eastAsia="zh-CN" w:bidi="ar"/>
              </w:rPr>
              <w:t>基层组织工作经费</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000000"/>
                <w:kern w:val="0"/>
                <w:sz w:val="20"/>
                <w:szCs w:val="20"/>
                <w:u w:val="none"/>
                <w:lang w:val="en-US" w:eastAsia="zh-CN" w:bidi="ar"/>
              </w:rPr>
              <w:t>深化在社会治理体系和治理能力现代化背景下的妇联改革，深入贯彻落实中国妇女第十二次代表大会和四川省妇女第十三次代表大会精神，夯实基层基础，通过培训“以点带面”，有效发挥基层妇联骨干引领示范作用，进一步深化基层妇联改革，全面推进妇联工作有效进行，更好地发挥妇联组织联系妇女群众的桥梁、纽带作用。通过深入基层调研，及时了解基层妇联工作动态、了解妇女群众所急所需，切实为妇女群众办实事、办好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6"/>
                <w:szCs w:val="36"/>
                <w:u w:val="none"/>
              </w:rPr>
            </w:pP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8"/>
                <w:szCs w:val="28"/>
                <w:u w:val="none"/>
              </w:rPr>
            </w:pPr>
            <w:r>
              <w:rPr>
                <w:rFonts w:hint="eastAsia" w:ascii="宋体" w:hAnsi="宋体" w:eastAsia="宋体" w:cs="宋体"/>
                <w:i w:val="0"/>
                <w:iCs w:val="0"/>
                <w:color w:val="auto"/>
                <w:kern w:val="0"/>
                <w:sz w:val="20"/>
                <w:szCs w:val="20"/>
                <w:u w:val="none"/>
                <w:lang w:val="en-US" w:eastAsia="zh-CN" w:bidi="ar"/>
              </w:rPr>
              <w:t>为离任妇干提供补助。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妇女儿童宣传经费</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线上线下开展妇联宣传工作，引领团结广大妇女姐妹和家庭感党恩、听党话、跟党走。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cs="宋体"/>
                <w:i w:val="0"/>
                <w:iCs w:val="0"/>
                <w:color w:val="000000"/>
                <w:kern w:val="0"/>
                <w:sz w:val="22"/>
                <w:szCs w:val="22"/>
                <w:u w:val="none"/>
                <w:lang w:val="en-US" w:eastAsia="zh-CN" w:bidi="ar"/>
              </w:rPr>
              <w:t>困境</w:t>
            </w:r>
            <w:r>
              <w:rPr>
                <w:rFonts w:hint="eastAsia" w:ascii="宋体" w:hAnsi="宋体" w:eastAsia="宋体" w:cs="宋体"/>
                <w:i w:val="0"/>
                <w:iCs w:val="0"/>
                <w:color w:val="000000"/>
                <w:kern w:val="0"/>
                <w:sz w:val="22"/>
                <w:szCs w:val="22"/>
                <w:u w:val="none"/>
                <w:lang w:val="en-US" w:eastAsia="zh-CN" w:bidi="ar"/>
              </w:rPr>
              <w:t>妇女儿童</w:t>
            </w:r>
            <w:r>
              <w:rPr>
                <w:rFonts w:hint="eastAsia" w:ascii="宋体" w:hAnsi="宋体" w:cs="宋体"/>
                <w:i w:val="0"/>
                <w:iCs w:val="0"/>
                <w:color w:val="000000"/>
                <w:kern w:val="0"/>
                <w:sz w:val="22"/>
                <w:szCs w:val="22"/>
                <w:u w:val="none"/>
                <w:lang w:val="en-US" w:eastAsia="zh-CN" w:bidi="ar"/>
              </w:rPr>
              <w:t>扶助工作经费</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让驻村干部、退休老干部感受到组织的关爱，让受助妇女儿童真切感受到妇女“娘家”的关心和关怀，感受到党和国家的温暖，通过资金的帮扶救助，帮助她们树立生活的信心，为她们解决燃眉之急，帮助她们眼前的难关，真正体现妇联组织“坚强阵地、温暖之家”的重要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2"/>
                <w:szCs w:val="22"/>
                <w:u w:val="none"/>
                <w:lang w:val="en-US" w:eastAsia="zh-CN" w:bidi="ar"/>
              </w:rPr>
              <w:t>妇儿工委办专项经费</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1赴各县（市）开展“两纲”督查工作；2、指导妇儿工委成员单位开展妇女儿童工作；3完成阶段性“两纲”监测工作；4.对“两纲”监测过程中发现的重难点问题进行调研并推动解决。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2"/>
                <w:szCs w:val="22"/>
                <w:u w:val="none"/>
                <w:lang w:val="en-US" w:eastAsia="zh-CN" w:bidi="ar"/>
              </w:rPr>
              <w:t>爱心“爸妈”工作经费</w:t>
            </w:r>
          </w:p>
        </w:tc>
        <w:tc>
          <w:tcPr>
            <w:tcW w:w="73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.按照“一月一会商、一季一调度、半年随访全覆盖”要求，定期跟踪随访“爱心爸妈”匹配结对、作用发挥、成效评估等情况，促进关爱服务动态跟进。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年度绩效</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一级指标</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二级指标</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三级指标</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绩效指标</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绩效指标值</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eastAsia="仿宋_GB2312"/>
                <w:sz w:val="32"/>
              </w:rPr>
            </w:pPr>
            <w:r>
              <w:rPr>
                <w:rFonts w:hint="eastAsia" w:ascii="宋体" w:hAnsi="宋体" w:eastAsia="宋体" w:cs="宋体"/>
                <w:i w:val="0"/>
                <w:iCs w:val="0"/>
                <w:color w:val="000000"/>
                <w:kern w:val="0"/>
                <w:sz w:val="21"/>
                <w:szCs w:val="21"/>
                <w:u w:val="none"/>
                <w:lang w:val="en-US" w:eastAsia="zh-CN" w:bidi="ar"/>
              </w:rPr>
              <w:t>绩效度量单位</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权重</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实际完成</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指标</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性质</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eastAsia="仿宋_GB2312"/>
                <w:sz w:val="32"/>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指标值</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1056" w:type="dxa"/>
            <w:vMerge w:val="restar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产出指标</w:t>
            </w:r>
          </w:p>
        </w:tc>
        <w:tc>
          <w:tcPr>
            <w:tcW w:w="1056" w:type="dxa"/>
            <w:vMerge w:val="restar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数量指标</w:t>
            </w:r>
          </w:p>
        </w:tc>
        <w:tc>
          <w:tcPr>
            <w:tcW w:w="105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“两纲”督导次数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3</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eastAsia="仿宋_GB2312"/>
                <w:sz w:val="32"/>
              </w:rPr>
            </w:pPr>
            <w:r>
              <w:rPr>
                <w:rFonts w:hint="eastAsia" w:ascii="宋体" w:hAnsi="宋体" w:eastAsia="宋体" w:cs="宋体"/>
                <w:i w:val="0"/>
                <w:iCs w:val="0"/>
                <w:color w:val="000000"/>
                <w:kern w:val="0"/>
                <w:sz w:val="21"/>
                <w:szCs w:val="21"/>
                <w:u w:val="none"/>
                <w:lang w:val="en-US" w:eastAsia="zh-CN" w:bidi="ar"/>
              </w:rPr>
              <w:t>次</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53次</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auto"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10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lang w:val="en-US"/>
              </w:rPr>
            </w:pPr>
            <w:r>
              <w:rPr>
                <w:rFonts w:hint="eastAsia" w:ascii="宋体" w:hAnsi="宋体" w:eastAsia="宋体" w:cs="宋体"/>
                <w:i w:val="0"/>
                <w:iCs w:val="0"/>
                <w:color w:val="000000"/>
                <w:kern w:val="0"/>
                <w:sz w:val="21"/>
                <w:szCs w:val="21"/>
                <w:u w:val="none"/>
                <w:lang w:val="en-US" w:eastAsia="zh-CN" w:bidi="ar"/>
              </w:rPr>
              <w:t>帮扶人数</w:t>
            </w:r>
          </w:p>
        </w:tc>
        <w:tc>
          <w:tcPr>
            <w:tcW w:w="105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lang w:val="en-US"/>
              </w:rPr>
            </w:pPr>
            <w:r>
              <w:rPr>
                <w:rFonts w:hint="eastAsia" w:ascii="宋体" w:hAnsi="宋体" w:eastAsia="宋体" w:cs="宋体"/>
                <w:i w:val="0"/>
                <w:iCs w:val="0"/>
                <w:color w:val="000000"/>
                <w:kern w:val="0"/>
                <w:sz w:val="21"/>
                <w:szCs w:val="21"/>
                <w:u w:val="none"/>
                <w:lang w:val="en-US" w:eastAsia="zh-CN" w:bidi="ar"/>
              </w:rPr>
              <w:t>40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eastAsia="仿宋_GB2312"/>
                <w:sz w:val="32"/>
              </w:rPr>
            </w:pPr>
            <w:r>
              <w:rPr>
                <w:rFonts w:hint="eastAsia" w:ascii="宋体" w:hAnsi="宋体" w:eastAsia="宋体" w:cs="宋体"/>
                <w:i w:val="0"/>
                <w:iCs w:val="0"/>
                <w:color w:val="000000"/>
                <w:kern w:val="0"/>
                <w:sz w:val="21"/>
                <w:szCs w:val="21"/>
                <w:u w:val="none"/>
                <w:lang w:val="en-US" w:eastAsia="zh-CN" w:bidi="ar"/>
              </w:rPr>
              <w:t>人</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50人</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auto"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10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质量指标</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思想宣传</w:t>
            </w:r>
          </w:p>
        </w:tc>
        <w:tc>
          <w:tcPr>
            <w:tcW w:w="1056" w:type="dxa"/>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auto"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10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覆盖率</w:t>
            </w:r>
          </w:p>
        </w:tc>
        <w:tc>
          <w:tcPr>
            <w:tcW w:w="105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kern w:val="0"/>
                <w:sz w:val="21"/>
                <w:szCs w:val="21"/>
                <w:u w:val="none"/>
                <w:lang w:val="en-US" w:eastAsia="zh-CN" w:bidi="ar"/>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kern w:val="0"/>
                <w:sz w:val="21"/>
                <w:szCs w:val="21"/>
                <w:u w:val="none"/>
                <w:lang w:val="en-US" w:eastAsia="zh-CN" w:bidi="ar"/>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kern w:val="0"/>
                <w:sz w:val="21"/>
                <w:szCs w:val="21"/>
                <w:u w:val="none"/>
                <w:lang w:val="en-US" w:eastAsia="zh-CN" w:bidi="ar"/>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kern w:val="0"/>
                <w:sz w:val="21"/>
                <w:szCs w:val="21"/>
                <w:u w:val="none"/>
                <w:lang w:val="en-US" w:eastAsia="zh-CN" w:bidi="ar"/>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kern w:val="0"/>
                <w:sz w:val="21"/>
                <w:szCs w:val="21"/>
                <w:u w:val="none"/>
                <w:lang w:val="en-US" w:eastAsia="zh-CN" w:bidi="ar"/>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auto"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10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default" w:ascii="Times New Roman" w:hAnsi="Times New Roman" w:eastAsia="宋体" w:cs="Times New Roman"/>
                <w:i w:val="0"/>
                <w:color w:val="000000"/>
                <w:sz w:val="32"/>
                <w:szCs w:val="32"/>
                <w:u w:val="none"/>
              </w:rPr>
            </w:pP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时效指标</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完成时限</w:t>
            </w:r>
          </w:p>
        </w:tc>
        <w:tc>
          <w:tcPr>
            <w:tcW w:w="105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定性</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2025年底前</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kern w:val="0"/>
                <w:sz w:val="21"/>
                <w:szCs w:val="21"/>
                <w:u w:val="none"/>
                <w:lang w:val="en-US" w:eastAsia="zh-CN" w:bidi="ar"/>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2025年底前</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auto"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效益指标</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社会效益指标</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工作覆盖率</w:t>
            </w:r>
          </w:p>
        </w:tc>
        <w:tc>
          <w:tcPr>
            <w:tcW w:w="105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auto"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帮扶对象满意度指标</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帮扶对象满意度</w:t>
            </w:r>
          </w:p>
        </w:tc>
        <w:tc>
          <w:tcPr>
            <w:tcW w:w="105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32"/>
                <w:szCs w:val="32"/>
                <w:u w:val="none"/>
                <w:lang w:val="en-US" w:eastAsia="zh-CN" w:bidi="ar"/>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 w:type="dxa"/>
            <w:tcBorders>
              <w:top w:val="single" w:color="000000" w:sz="4" w:space="0"/>
              <w:left w:val="single" w:color="000000" w:sz="4" w:space="0"/>
              <w:bottom w:val="single" w:color="000000" w:sz="4" w:space="0"/>
              <w:right w:val="single" w:color="auto" w:sz="4" w:space="0"/>
            </w:tcBorders>
            <w:shd w:val="clear" w:color="auto" w:fill="auto"/>
            <w:vAlign w:val="center"/>
          </w:tcPr>
          <w:p>
            <w:pPr>
              <w:rPr>
                <w:rFonts w:hint="default" w:ascii="Times New Roman" w:hAnsi="Times New Roman" w:eastAsia="宋体" w:cs="Times New Roman"/>
                <w:i w:val="0"/>
                <w:color w:val="000000"/>
                <w:sz w:val="32"/>
                <w:szCs w:val="32"/>
                <w:u w:val="none"/>
              </w:rPr>
            </w:pP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成本指标</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iCs w:val="0"/>
                <w:color w:val="000000"/>
                <w:kern w:val="0"/>
                <w:sz w:val="21"/>
                <w:szCs w:val="21"/>
                <w:u w:val="none"/>
                <w:lang w:val="en-US" w:eastAsia="zh-CN" w:bidi="ar"/>
              </w:rPr>
              <w:t>经济成本指标</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成本节约率</w:t>
            </w:r>
          </w:p>
        </w:tc>
        <w:tc>
          <w:tcPr>
            <w:tcW w:w="105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万元</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color w:val="000000"/>
                <w:sz w:val="32"/>
                <w:szCs w:val="32"/>
                <w:u w:val="none"/>
                <w:lang w:val="en-US" w:eastAsia="zh-CN"/>
              </w:rPr>
            </w:pPr>
          </w:p>
        </w:tc>
      </w:tr>
    </w:tbl>
    <w:p>
      <w:pPr>
        <w:widowControl w:val="0"/>
        <w:shd w:val="clear" w:color="auto" w:fill="FFFFFF"/>
        <w:wordWrap w:val="0"/>
        <w:spacing w:before="74" w:beforeAutospacing="0" w:after="74" w:afterAutospacing="0" w:line="576" w:lineRule="exact"/>
        <w:ind w:left="0" w:right="0" w:firstLine="4480" w:firstLineChars="1400"/>
        <w:jc w:val="right"/>
        <w:rPr>
          <w:rFonts w:hint="eastAsia" w:ascii="仿宋_GB2312" w:hAnsi="Times New Roman" w:eastAsia="仿宋_GB2312" w:cs="Times New Roman"/>
          <w:color w:val="000000" w:themeColor="text1"/>
          <w:kern w:val="0"/>
          <w:sz w:val="32"/>
          <w:szCs w:val="32"/>
          <w:lang w:val="en-US" w:eastAsia="zh-CN" w:bidi="ar"/>
          <w14:textFill>
            <w14:solidFill>
              <w14:schemeClr w14:val="tx1"/>
            </w14:solidFill>
          </w14:textFill>
        </w:rPr>
      </w:pPr>
    </w:p>
    <w:p>
      <w:pPr>
        <w:rPr>
          <w:rFonts w:hint="default" w:eastAsia="仿宋_GB2312"/>
          <w:sz w:val="32"/>
          <w:lang w:eastAsia="zh-CN"/>
        </w:rPr>
      </w:pPr>
    </w:p>
    <w:p>
      <w:pPr>
        <w:keepNext w:val="0"/>
        <w:keepLines w:val="0"/>
        <w:pageBreakBefore w:val="0"/>
        <w:kinsoku/>
        <w:wordWrap/>
        <w:overflowPunct/>
        <w:topLinePunct w:val="0"/>
        <w:autoSpaceDE/>
        <w:autoSpaceDN/>
        <w:bidi w:val="0"/>
        <w:spacing w:line="578" w:lineRule="exact"/>
        <w:jc w:val="left"/>
        <w:textAlignment w:val="auto"/>
        <w:rPr>
          <w:rFonts w:hint="eastAsia" w:eastAsia="黑体" w:cs="Times New Roman"/>
          <w:kern w:val="2"/>
          <w:sz w:val="32"/>
          <w:szCs w:val="24"/>
          <w:highlight w:val="none"/>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rPr>
        <w:br w:type="page"/>
      </w:r>
      <w:r>
        <w:rPr>
          <w:rFonts w:hint="default" w:ascii="Times New Roman" w:hAnsi="Times New Roman" w:eastAsia="黑体" w:cs="Times New Roman"/>
          <w:kern w:val="2"/>
          <w:sz w:val="32"/>
          <w:szCs w:val="24"/>
          <w:highlight w:val="none"/>
          <w:lang w:val="en-US" w:eastAsia="zh-CN" w:bidi="ar-SA"/>
        </w:rPr>
        <w:t>附表</w:t>
      </w:r>
      <w:r>
        <w:rPr>
          <w:rFonts w:hint="eastAsia" w:eastAsia="黑体" w:cs="Times New Roman"/>
          <w:kern w:val="2"/>
          <w:sz w:val="32"/>
          <w:szCs w:val="24"/>
          <w:highlight w:val="none"/>
          <w:lang w:val="en-US" w:eastAsia="zh-CN" w:bidi="ar-SA"/>
        </w:rPr>
        <w:t>3</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61"/>
        <w:gridCol w:w="888"/>
        <w:gridCol w:w="1187"/>
        <w:gridCol w:w="396"/>
        <w:gridCol w:w="836"/>
        <w:gridCol w:w="396"/>
        <w:gridCol w:w="846"/>
        <w:gridCol w:w="486"/>
        <w:gridCol w:w="486"/>
        <w:gridCol w:w="13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51320021T000000039237-妇女儿童宣传经费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线上线下开展妇联宣传工作，引领团结广大妇女姐妹和家庭感党恩、听党话、跟党走。线上围绕妇女群众关注点，运营维护州妇联官方公众号“花开阿坝”，利用平台设置话题，引导讨论；线下结合“禁毒日”“网络宣传安全周”等重要宣传节点，广泛开展宣讲，订制宣传资料，亮出阿坝妇联宣传品牌，做好妇女宣传舆论阵地建设，强化妇女思想政治引领。</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全年宣传工作经费执行率达100%，资金使用规范高效。成功打造了“爱润阿坝”巾帼宣传品牌，构建了“1+13+N”融媒体宣传矩阵（1个州级主号+13个县市级分号+N个基层微家联络点），实现了宣传覆盖面、内容感染力、品牌影响力的显著提升，荣获“全国三八红旗集体”称号，宣传工作在全州目标绩效考核中名列前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持续优化“花开阿坝”微信公众号、视频号及抖音号，升级硬件设备，提升图文视频制作质量。</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融媒联动推广：建立州县两级妇联新媒体联动机制，统筹13县（市）妇联账号资源，形成“一次采集、多元生成、全媒传播”格局。围绕“三八”妇女节、儿童节、宪法日等关键节点，开展维权普法、家风家教等大型主题宣传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日常运营维护公众号‘花开阿坝’期数"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开展主题宣讲活动次数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微信发布通过率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宣传资料合格率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2025年年底前完成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2025年年底前完成</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宣传活动按时完成率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强化妇女思想政治引领程度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妇女群众满意度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项目自评100分，亮出了阿坝妇联宣传品牌，做好妇女宣传舆论阵地建设，强化妇女思想政治引领。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项目负责人：东文丽</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51320021T000000043655-困</w:t>
            </w:r>
            <w:r>
              <w:rPr>
                <w:rFonts w:hint="eastAsia" w:ascii="宋体" w:hAnsi="宋体" w:cs="宋体"/>
                <w:i w:val="0"/>
                <w:iCs w:val="0"/>
                <w:color w:val="000000"/>
                <w:kern w:val="0"/>
                <w:sz w:val="18"/>
                <w:szCs w:val="18"/>
                <w:u w:val="none"/>
                <w:lang w:val="en-US" w:eastAsia="zh-CN" w:bidi="ar"/>
              </w:rPr>
              <w:t>境</w:t>
            </w:r>
            <w:r>
              <w:rPr>
                <w:rFonts w:ascii="宋体" w:hAnsi="宋体" w:eastAsia="宋体" w:cs="宋体"/>
                <w:i w:val="0"/>
                <w:iCs w:val="0"/>
                <w:color w:val="000000"/>
                <w:kern w:val="0"/>
                <w:sz w:val="18"/>
                <w:szCs w:val="18"/>
                <w:u w:val="none"/>
                <w:lang w:val="en-US" w:eastAsia="zh-CN" w:bidi="ar"/>
              </w:rPr>
              <w:t>妇女儿童扶助工作经费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驻村干部、退休老干部感受到组织的关爱，让受助妇女儿童真切感受到妇女“娘家”的关心和关怀，帮扶10人以上，感受到党和国家的温暖，通过资金的帮扶救助，帮助她们树立生活的信心，为她们解决燃眉之急，帮助她们眼前的难关，真正体现妇联组织“坚强阵地、温暖之家”的重要作用</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让驻村干部、退休老干部感受到组织的关爱，让受助妇女儿童真切感受到妇女“娘家”的关心和关怀，帮扶10人以上，感受到党和国家的温暖，通过资金的帮扶救助，帮助她们树立生活的信心，为她们解决燃眉之急，帮助她们眼前的难关，真正体现妇联组织“坚强阵地、温暖之家”的重要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驻村干部、退休老干部感受到组织的关爱，让受助妇女儿童真切感受到妇女“娘家”的关心和关怀，帮扶10人以上，感受到党和国家的温暖，通过资金的帮扶救助，帮助她们树立生活的信心，为她们解决燃眉之急，帮助她们眼前的难关，真正体现妇联组织“坚强阵地、温暖之家”的重要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帮扶资金发放准确率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完成帮扶困难妇女儿童率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2025年12月底前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增强贫困妇女儿童生活信心</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人均帮扶成本</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项目负责人：李良霞</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51320021T000000043656-妇女儿童工作经费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7"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家庭是社会的基本细胞，家庭的前途命运同国家和民族的前途命运紧相连。党的十八大以来，习近平总书记围绕注重家庭、注重家教、注重家风建设发表的一系列重要论述，对于动员社会各界广泛参与家庭文明建设，努力使千千万万的家庭成为国家发展、民族进步、社会和谐的重要基点，把实现个人梦、家庭梦融入国家梦、民族梦之中，汇聚起全面建设社会主义现代化国家、实现中华民族伟大复兴中国梦的磅礴力量，具有十分重要的意义。儿童和家庭工作属于家儿部的职能分工，具有现实需求，具有明显的社会效益、可持续性效益。做好关心下一代，特别是关心儿童工作，关系中华民族的伟大复兴，实现受益妇女儿童50人以上，关爱帮扶率达到90%以上”。</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做好关心下一代，特别是关心儿童工作，关系中华民族的伟大复兴，实现受益妇女儿童50人以上，关爱帮扶率达到90%以上”。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通过组织儿童节慰问活动、发放节日小礼品及暖心包等，帮助儿童少年度过欢乐节日，营造全社会关心儿童、保护儿童浓厚氛围。二是紧扣“爱心爸妈”结对关爱志愿服务、未成年人保护等相关工作，对儿童少年开展思想引领和爱国主义教育，向儿童（及其监护人）讲授法律知识，帮助培养正确“三观”，提高自我保护能力和意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受益妇女儿童数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关爱帮扶率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2025年12月30日前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2025年12月30日前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家庭家教家风建设水平提升度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受益人群满意度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项目经费执行偏差率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项目负责人：杨燕杰</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51320021T000000043660-妇儿工委办专项工作经费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赴各县（市）开展“两纲”督查工作；2、指导妇儿工委成员单位开展妇女儿童工作；3完成阶段性“两纲”监测工作；4.对“两纲”监测过程中发现的重难点问题进行调研并推动解决。宣传贯彻男女平等基本国策，提高社会对'两纲'内容的知晓程度"，推动妇女儿童发展纲要有效实施，促进性别平等和社会治理水平提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1.对13县（市）、40个州级成员单位开始全覆盖“两纲督查，2、联合州统计局完成2024“两纲”数据监测工作，3、召开全州妇女儿童工作会议、“两纲”中期评估调研座谈会、“两纲”中期评估攻坚工作视频会议，4、在州委党校开展男女平等基本国策进党校主题课程。5.在各类活动中发放“两纲”宣传册100余份，提高社会对'两纲'内容的知晓程度"，推动妇女儿童发展纲要有效实施，促进性别平等和社会治理水平提升</w:t>
            </w:r>
            <w:r>
              <w:rPr>
                <w:rFonts w:hint="default" w:ascii="simhei" w:hAnsi="simhei" w:eastAsia="simhei" w:cs="simhei"/>
                <w:i w:val="0"/>
                <w:iCs w:val="0"/>
                <w:color w:val="000000"/>
                <w:kern w:val="0"/>
                <w:sz w:val="18"/>
                <w:szCs w:val="18"/>
                <w:u w:val="none"/>
                <w:lang w:val="en-US" w:eastAsia="zh-CN" w:bidi="ar"/>
              </w:rPr>
              <w:br w:type="textWrapping"/>
            </w:r>
            <w:r>
              <w:rPr>
                <w:rFonts w:hint="default" w:ascii="simhei" w:hAnsi="simhei" w:eastAsia="simhei" w:cs="simhei"/>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对13县（市）、40个州级成员单位开始全覆盖“两纲督查，2、联合州统计局完成2024“两纲”数据监测工作，3、召开全州妇女儿童工作会议、“两纲”中期评估调研座谈会、“两纲”中期评估攻坚工作视频会议，4、在州委党校开展男女平等基本国策进党校主题课程。5.在各类活动中发放“两纲”宣传册100余份，提高社会对'两纲'内容的知晓程度"，推动妇女儿童发展纲要有效实施，促进性别平等和社会治理水平提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“两纲”督导部门数量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开展重难点问题调研次数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53</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“两纲”监测覆盖率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7月</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提高社会对“两纲”内容的知晓程度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宣传贯彻男女平等基本国策</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好、一般、差</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好</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成员单位对工作指导的满意度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调研工作成本</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项目按时实施，绩效目标均超预期达标，预算执行率达100%，自评分数100分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项目负责人：陈鑫</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51320021T000000043666-1+N工作经费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87"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万元用于发展联络部第三方项目代管费7万元（项目评审、咨询、指导、培训、管理等费用），发现挖掘助力乡村振兴中发挥积极作用的女性代表；推动实施开展妇女助力乡村振兴等各项工作；通过购买第三方服务的方式加强各级妇女居家灵活就业项目基地建设的规范化管理，通过开展项目督导，发现项目执行中存在的风险点，提出指导性意见。</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2.10万元用于妇儿工委办对6个欠发达县域开展关爱工作。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3.10万元用于宣传部开展州十四大相关宣传工作、净土春晖队伍提升行动,提升妇联组织及干部能力，了解重大会议相关精神。</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4.5万元用于家儿维权部聘请会机关法律顾问律师开展政策法律讲解、法律咨询、维权服务、政策性文件法律审查等相关工作，使全会干部职工进一步增强法律素养，提高依法依规办事能力，从而更好地维护妇女儿童合法权益。</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1.20万元用于发展联络部第三方项目代管费7万元（项目评审、咨询、指导、培训、管理等费用），发现挖掘助力乡村振兴中发挥积极作用的女性代表；推动实施开展妇女助力乡村振兴等各项工作；通过购买第三方服务的方式加强各级妇女居家灵活就业项目基地建设的规范化管理，通过开展项目督导，发现项目执行中存在的风险点，提出指导性意见。</w:t>
            </w:r>
            <w:r>
              <w:rPr>
                <w:rFonts w:hint="default" w:ascii="simhei" w:hAnsi="simhei" w:eastAsia="simhei" w:cs="simhei"/>
                <w:i w:val="0"/>
                <w:iCs w:val="0"/>
                <w:color w:val="000000"/>
                <w:kern w:val="0"/>
                <w:sz w:val="18"/>
                <w:szCs w:val="18"/>
                <w:u w:val="none"/>
                <w:lang w:val="en-US" w:eastAsia="zh-CN" w:bidi="ar"/>
              </w:rPr>
              <w:br w:type="textWrapping"/>
            </w:r>
            <w:r>
              <w:rPr>
                <w:rFonts w:hint="default" w:ascii="simhei" w:hAnsi="simhei" w:eastAsia="simhei" w:cs="simhei"/>
                <w:i w:val="0"/>
                <w:iCs w:val="0"/>
                <w:color w:val="000000"/>
                <w:kern w:val="0"/>
                <w:sz w:val="18"/>
                <w:szCs w:val="18"/>
                <w:u w:val="none"/>
                <w:lang w:val="en-US" w:eastAsia="zh-CN" w:bidi="ar"/>
              </w:rPr>
              <w:t>2.10万元用于妇儿工委办对6个欠发达县域开展关爱工作。</w:t>
            </w:r>
            <w:r>
              <w:rPr>
                <w:rFonts w:hint="default" w:ascii="simhei" w:hAnsi="simhei" w:eastAsia="simhei" w:cs="simhei"/>
                <w:i w:val="0"/>
                <w:iCs w:val="0"/>
                <w:color w:val="000000"/>
                <w:kern w:val="0"/>
                <w:sz w:val="18"/>
                <w:szCs w:val="18"/>
                <w:u w:val="none"/>
                <w:lang w:val="en-US" w:eastAsia="zh-CN" w:bidi="ar"/>
              </w:rPr>
              <w:br w:type="textWrapping"/>
            </w:r>
            <w:r>
              <w:rPr>
                <w:rFonts w:hint="default" w:ascii="simhei" w:hAnsi="simhei" w:eastAsia="simhei" w:cs="simhei"/>
                <w:i w:val="0"/>
                <w:iCs w:val="0"/>
                <w:color w:val="000000"/>
                <w:kern w:val="0"/>
                <w:sz w:val="18"/>
                <w:szCs w:val="18"/>
                <w:u w:val="none"/>
                <w:lang w:val="en-US" w:eastAsia="zh-CN" w:bidi="ar"/>
              </w:rPr>
              <w:t>3.10万元用于宣传部开展州十四大相关宣传工作、净土春晖队伍提升行动,提升妇联组织及干部能力，了解重大会议相关精神。</w:t>
            </w:r>
            <w:r>
              <w:rPr>
                <w:rFonts w:hint="default" w:ascii="simhei" w:hAnsi="simhei" w:eastAsia="simhei" w:cs="simhei"/>
                <w:i w:val="0"/>
                <w:iCs w:val="0"/>
                <w:color w:val="000000"/>
                <w:kern w:val="0"/>
                <w:sz w:val="18"/>
                <w:szCs w:val="18"/>
                <w:u w:val="none"/>
                <w:lang w:val="en-US" w:eastAsia="zh-CN" w:bidi="ar"/>
              </w:rPr>
              <w:br w:type="textWrapping"/>
            </w:r>
            <w:r>
              <w:rPr>
                <w:rFonts w:hint="default" w:ascii="simhei" w:hAnsi="simhei" w:eastAsia="simhei" w:cs="simhei"/>
                <w:i w:val="0"/>
                <w:iCs w:val="0"/>
                <w:color w:val="000000"/>
                <w:kern w:val="0"/>
                <w:sz w:val="18"/>
                <w:szCs w:val="18"/>
                <w:u w:val="none"/>
                <w:lang w:val="en-US" w:eastAsia="zh-CN" w:bidi="ar"/>
              </w:rPr>
              <w:t>4.5万元用于家儿维权部聘请会机关法律顾问律师开展政策法律讲解、法律咨询、维权服务、政策性文件法律审查等相关工作，使全会干部职工进一步增强法律素养，提高依法依规办事能力，从而更好地维护妇女儿童合法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万元用于发展联络部第三方项目代管费7万元（项目评审、咨询、指导、培训、管理等费用），发现挖掘助力乡村振兴中发挥积极作用的女性代表；推动实施开展妇女助力乡村振兴等各项工作；通过购买第三方服务的方式加强各级妇女居家灵活就业项目基地建设的规范化管理，通过开展项目督导，发现项目执行中存在的风险点，提出指导性意见。</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2.10万元用于妇儿工委办对6个欠发达县域开展关爱工作。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3.10万元用于宣传部开展州十四大相关宣传工作、净土春晖队伍提升行动,提升妇联组织及干部能力，了解重大会议相关精神。</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4.5万元用于家儿维权部聘请会机关法律顾问律师开展政策法律讲解、法律咨询、维权服务、政策性文件法律审查等相关工作，使全会干部职工进一步增强法律素养，提高依法依规办事能力，从而更好地维护妇女儿童合法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聘请律师人数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开展项目督导次数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开展净土春晖队伍提升活动数量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关爱欠发达县域数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基地规范化评估合格率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加强我会干部职工依法办事能力</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提升女性地位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提升妇女就业创业能力</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较好</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较好</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提升妇联组织及干部能力</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第三方服务机构满意度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项目按时实施，预算执行率达100%，自评分数100分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项目负责人：赵赛男、东文丽、</w:t>
            </w:r>
            <w:r>
              <w:rPr>
                <w:rFonts w:hint="eastAsia" w:ascii="simhei" w:hAnsi="simhei" w:eastAsia="simhei" w:cs="simhei"/>
                <w:i w:val="0"/>
                <w:iCs w:val="0"/>
                <w:color w:val="000000"/>
                <w:kern w:val="0"/>
                <w:sz w:val="18"/>
                <w:szCs w:val="18"/>
                <w:u w:val="none"/>
                <w:lang w:val="en-US" w:eastAsia="zh-CN" w:bidi="ar"/>
              </w:rPr>
              <w:t>杨红英</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51320021T000000043673-基层组织建设工作经费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总体目标 深化在社会治理体系和治理能力现代化背景下的妇联改革，深入贯彻落实中国妇女第十二次代表大会和四川省妇女第十三次代表大会精神，夯实基层基础，通过培训“以点带面”，有效发挥基层妇联骨干引领示范作用，进一步深化基层妇联改革，全面推进妇联工作有效进行，更好地发挥妇联组织联系妇女群众的桥梁、纽带作用。通过深入基层调研，及时了解基层妇联工作动态、了解妇女群众所急所需，切实为妇女群众办实事、办好事。</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以提升基层妇联组织政治性、先进性、群众性为核心，通过专项经费支持，全面巩固拓展“破难行动”成果。年内实现全州乡镇（街道）、村（社区）妇联组织规范化建设达标率100%，新兴领域妇联组织覆盖显著扩大，基层妇联干部履职能力全面提升，打造一批具有阿坝特色的“石榴籽”巾帼示范阵地，打通联系服务妇女群众的“最后一公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织密组织网：在民宿、电商等新业态新建妇联组织，在自然村/网格设立“妇女微家”，消除覆盖盲区。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提质主阵地：升级改造乡镇/村“妇女之家”，打造一批集宣讲、调解、服务于一体的“石榴籽”示范阵地。</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赋能领头雁：开展基层妇联主席及执委履职能力培训，编印实务手册，推广“轮值主席”制度。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激活新机制：建立执委网格化联系群众机制，支持基层以“微项目”形式开展关爱与调解服务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基层妇联骨干培训次数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开展基层调研指导次数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调研指导完成率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当年年底前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2025年12月底前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基层妇联服务响应时效提升率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妇女群众对妇联服务的满意度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项目评分100分，新兴领域妇联组织覆盖显著扩大，基层妇联干部履职能力全面提升，打造一批具有阿坝特色的“石榴籽”巾帼示范阵地，打通联系服务妇女群众的“最后一公里”。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项目负责人：东文丽</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51320021T000000043685-三八节等节日活动经费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贯彻落实习近平总书记在同全国妇联新一届领导班子成员集体谈话时的重要讲话精神，进一步学习宣传贯彻习近平新时代中国特色社会主义思想，通过广泛开展“巾帼心向党、奋斗新征程”“百千万巾帼大宣讲”等主题活动。开展好“三八”节等纪念活动引导全州妇女听党话、跟党走，开展线上线下主题活动不少于2次，提升妇女参与社会治理的积极性。</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三八”节期间，州妇联紧扣州委“石榴籽”工程和群众工作“六大行动”部署，以“跟党奋进新征程·巾帼建功新时代”为主题，圆满完成了年度既定目标。全州共开展各类主题活动14场，覆盖妇女群众1万余人次，形成了“上下联动、全域覆盖、亮点突出”的良好局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传教育强意识：举办《妇女权益保障法》普法宣讲、女性健康义诊及“爱润阿坝”主题文艺展演，提升妇女法治观念与健康水平。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融媒体矩阵宣传：依托“花开阿坝”等平台，推出节日系列专题报道、短视频及互动活动，营造浓厚节日氛围。策划筹备阶段（1月-2月上旬）：成立工作专班，制定印发《关于开展2025年“三八”国际妇女节系列活动的通知》，明确活动主题、时间节点及责任分工；集中表彰：召开全州纪念“三八”国际妇女节大会，隆重表彰先进典型。主题活动：在马尔康等地举办“爱润阿坝”文艺晚会及普法讲座，组织各族妇女开展联谊交流。宣传推广阶段（贯穿全程）：节前发布预热海报，节日期间每日推送典型事迹报道及活动快讯，节后制作回顾视频，形成全媒体传播热潮，累计阅读量达 。总结提升阶段（3月下旬）：收集整理活动影像资料及台账，评估活动成效，梳理存在问题，建立关爱妇女长效机制，为下一年度工作奠定基础。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开展线上线下活动数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14</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活动内容符合妇联工作规范达标率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县乡村三级调研覆盖率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先进典型示范作用</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较好</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较好</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参与妇女满意度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项目评分100分，以“跟党奋进新征程·巾帼建功新时代”为主题，圆满完成了年度既定目标，形成了“上下联动、全域覆盖、亮点突出”的良好局面，提升妇女参与社会治理的积极性。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项目负责人：东文丽</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51320023T000007891786-家庭教育指导服务专项经费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州委群众工作“石榴籽”工程工作要求，在2025年阿坝州妇联群众工作“石榴籽”工程--爱润阿坝.爱心爸妈赋能云课堂项目资金19450元；2025年阿坝州妇联群众工作“石榴籽”工程爱心爸妈行动心理健康服务项目资金49200元；同意在爱心爸妈行动示范县红原县试点建设群众工作“石榴籽”工程-爱心爸妈阳光驿站1个资金10万元；3万元用于州妇联家儿部指导各县（市）开展爱心爸妈业务工作差旅费、项目评审等的支出。</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一是开展 “爱心爸妈” 云课堂 6 期，培训 6.2 万人次，提升志愿服务精准性。二是在红原 5 所学校开展心理服务 15 场，覆盖学生 4000 余名并建立档案。三是建成 200㎡阳光驿站，开展关爱服务 15 场，惠及困境儿童 150 人次，筑牢儿童关爱服务保障。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邀请高级家庭教育指导师王永华开设“爱心爸妈”云课堂6期，认真教授儿童少年志愿服务方法技巧，并通过“花开阿坝”微信公众号平台对全州“爱心爸妈”进行全覆盖培训，累计培训量达6.2万人次。爱心爸妈志愿服务的科学性、精准性持续增强。二是联动四川省妇女儿童心理健康服务中心及第三方专业团队在红原县5所学校（红原福田希望小学、城关小学、红原邛溪小学、红原县寄宿制藏文中学、红原县中学）开展学生心理健康测评、学生团体辅导15场，覆盖学生4000余名，并建立详细的心理档案。三是在红原县建设爱心爸妈阳光驿站1个(面积200平方米)，配备（电脑，打印机，复印机，饮水机，桌椅，体育用品，儿童读物。）等设施设备，截至目前累计通过驿站开展爱心爸妈结对关爱志愿服务15场次，惠及困境儿童少年150人次，并将长期发挥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爱润阿坝.爱心爸妈赋能云课堂数量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群众工作“石榴籽”工程-爱心爸妈阳光驿站数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群众工作“石榴籽”工程-爱心爸妈阳光驿站建设完成率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提升爱心爸妈工作程度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成本支付完成率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截止2025年底，项目全面实施完毕，预算执行率100%，资金拨付率100%，项目自评100分。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项目负责人：杨燕杰</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51320025T000012888333-基层驻村工作经费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用于第一书记及驻村干部各类生活补助、差旅费等工作经费，保障驻村人员工作调研、规划编制、考察交流日常工作运转。提升驻村帮扶规范化水平，促进村民就业增收</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用于对一名驻村干部各类生活补助、差旅费等工作经费，障驻村人员工作调研、规划编制、考察交流日常工作运转。提升驻村帮扶规范化水平，促进村民就业增收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用于对一名驻村干部各类生活补助、差旅费等工作经费，障驻村人员工作调研、规划编制、考察交流日常工作运转。提升驻村帮扶规范化水平，促进村民就业增收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驻村月数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完成调研次数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驻村工作运转保障率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驻村工作按时完成率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提升驻村帮扶工作规范化</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规范化程度高、中、低</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村委委员满意度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项目全面实施完毕，预算执行率100%，资金拨付率100%，项目自评100分。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项目负责人：李良霞</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51320025T000012915081-爱心“爸妈”工作经费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按照“一月一会商、一季一调度、半年随访全覆盖”要求，定期跟踪随访“爱心爸妈”匹配结对、作用发挥、成效评估等情况，促进关爱服务动态跟进。提升被关爱儿童的心理健康水平及社会支持感</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全州“爱心爸妈”开展志愿关爱服务的能力水平显著增强，有需要帮助的困境儿童少年心理健康水平进一步保障，开展工作的阵地和抓手进一步丰富。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邀请高级家庭教育指导师王永华开设“爱心爸妈”云课堂6期，认真教授儿童少年志愿服务方法技巧，并通过“花开阿坝”微信公众号平台对全州“爱心爸妈”进行全覆盖培训，累计培训量达6.2万人次。爱心爸妈志愿服务的科学性、精准性持续增强。二是联动四川省妇女儿童心理健康服务中心及第三方专业团队在红原县5所学校（红原福田希望小学、城关小学、红原邛溪小学、红原县寄宿制藏文中学、红原县中学）开展学生心理健康测评、学生团体辅导15场，覆盖学生4000余名，并建立详细的心理档案。三是在红原县建设爱心爸妈阳光驿站1个(面积200平方米)，配备（电脑，打印机，复印机，饮水机，桌椅，体育用品，儿童读物。）等设施设备，截至目前累计通过驿站开展爱心爸妈结对关爱志愿服务15场次，惠及困境儿童少年150人次，并将长期发挥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10.33</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10.33</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10.33</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10.33</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随访次数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随访覆盖率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随访报告按时完成率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儿童心理健康改善率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深化爱心“爸妈”工作机制</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机制运行良好</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机制运行良好</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随访对象满意度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项目严格按照决策管理要求实施，达到预期成效，自评分100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项目负责人：杨燕杰</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51320025T000013672942-“爱润阿坝”阿坝州群众工作主题晚会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3"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音诗画”的艺术手法生动展现阿坝各级干部始终保持同人民群众的血肉联系，在深入实际、深入群众的躬身实践中，用心增进群众感情、用情把准群众脉搏、用力精准服务群众的优秀典型和感人至深的故事，让参与者感同身受见证成效，获得礼遇和尊崇，让受助群众感恩奋进，沐光而行，擦亮提升阿坝群众工作品牌的影响力、感召力，让更多的干部和志愿者加入群众工作行列，链接更多社会资源参与其中，激发起全州广大党员干部和各族干部群众干事创业的积极性，凝聚起奋力建设民族地区高质量发展阿坝典范的磅礴力量。</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完成1场“爱润阿坝”阿坝州群众工作主题晚会，由第三方负责宣传交流活动策划、排练及现场演出系列服务内容，通过主题宣传交流活动，擦亮提升阿坝群众工作品牌的影响力、感召力，让更多的干部和志愿者加入群众工作行列，链接更多社会资源参与其中，激发起全州广大党员干部和各族干部群众干事创业的积极性，凝聚起奋力建设民族地区高质量发展阿坝典范的磅礴力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1场“爱润阿坝”阿坝州群众工作主题晚会，由第三方负责宣传交流活动策划、排练及现场演出系列服务内容，通过主题宣传交流活动，擦亮提升阿坝群众工作品牌的影响力、感召力，让更多的干部和志愿者加入群众工作行列，链接更多社会资源参与其中，激发起全州广大党员干部和各族干部群众干事创业的积极性，凝聚起奋力建设民族地区高质量发展阿坝典范的磅礴力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77.97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77.97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77.97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77.97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每场演出节目个数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演出场次</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作品创作编排、演出合格率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安全保障率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按合同、方案规定时间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2025年12月底前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提升干部群众信心和决心</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满足群众多层次文化需求</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长期影响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长期影响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提升地方影响力和知名度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长期影响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长期影响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对政府采购第三方服务满意度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演出总成本</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评分100分，通过主题宣传交流活动，擦亮提升阿坝群众工作品牌的影响力、感召力，让更多的干部和志愿者加入群众工作行列，链接更多社会资源参与其中，激发起全州广大党员干部和各族干部群众干事创业的积极性，凝聚起奋力建设民族地区高质量发展阿坝典范的磅礴力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项目负责人：东文丽</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51320025T000013762500-2025年浙江援建项目-浙爱暖心行囊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浙爱暧心行囊”送温暖活动。为全州控辍保学返校复学及部分其他困境儿童少年购买适龄适季衣物（春夏装、秋冬装）、学习用品、卫生健康用品等“浙爱暧心行囊”，3900份，让受帮扶儿童切实感受更多的幸福感和获得感。</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开展“浙爱暧心行囊”送温暖活动。为全州控辍保学返校复学及部分其他困境儿童少年购买适龄适季衣物（春夏装、秋冬装）、学习用品、卫生健康用品等“浙爱暧心行囊”，3900份，让受帮扶儿童切实感受更多的幸福感和获得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浙爱暧心行囊”送温暖活动。为全州控辍保学返校复学及部分其他困境儿童少年购买适龄适季衣物（春夏装、秋冬装）、学习用品、卫生健康用品等“浙爱暧心行囊”，3900份，让受帮扶儿童切实感受更多的幸福感和获得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157.81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覆盖县（市）数量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采购暧心行囊数量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3900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暧心行囊质量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覆盖儿童</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3900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受帮扶儿童满意度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采购成本</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157.81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项目严格按照决策管理要求实施，达到预期成效，自评分100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项目负责人：赵赛男</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51320025T000013887890-乳腺健康关爱救助金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提升女性对乳腺健康的关注，帮助更多女性将任职积累转化为自发的常态化行动，中国妇女发展基金会发起“乳腺健康关爱”公益项目，通过为困境患者发放救助金、关爱包、开展乳腺检查和进行乳腺健康知识理念宣导等系列活动，引导广大女性加强重视乳房健康。用于6个托底性帮扶县乳腺癌患者救助。合计14万元。</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用于6个托底性帮扶县乳腺癌患者救助。合计14万元。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该项目为四川妇儿基金会捐赠代管资金，用于6个托底性帮扶县乳腺癌患者救助。合计14万元。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帮扶人数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覆盖县（市）个数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托底县帮扶覆盖率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提升女性对乳腺健康重视程度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帮扶妇女满意度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收到捐赠金额</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14</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项目严格按照决策管理要求实施，达到预期成效，自评分100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项目负责人：赵赛男</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51320025T000013890851-天府同心温暖童行公益项目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用于州级、金川县、若尔盖县、松潘县、小金县、阿坝县共50名困境儿童资助。</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该项目为四川妇儿基金会捐赠代管资金，用于州级、金川县、若尔盖县、松潘县、小金县、阿坝县共50名困境儿童资助。截止年底前已全部拨付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该项目为四川妇儿基金会捐赠代管资金，用于州级、金川县、若尔盖县、松潘县、小金县、阿坝县共50名困境儿童资助。截止年底前已全部拨付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6.28</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6.28</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覆盖县市个数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受益儿童数量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帮扶资金发放准确率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提升儿童生活质量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帮扶儿童满意度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人均帮扶成本</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项目严格按照决策管理要求实施，达到预期成效，自评分100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项目负责人：杨燕杰</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51320025T000013965861-“净土阿妹”巾帼家政标准化培训项目经费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12"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35"/>
                <w:lang w:val="en-US" w:eastAsia="zh-CN" w:bidi="ar"/>
              </w:rPr>
              <w:t>为贯彻落实《国务院办公厅关于促进家政服务业提质扩容的意见》，进一步加大家政行业技能人才培养力度，缓解阿坝州对高品质家政人才需求压力。“养老”、“育婴”作为培训核心内容，既是回应千万家庭“老有所养、幼有所育”的迫切需求，也是推动阿坝家政服务从“零散化”向“标准化”升级的关键举措。“养老”是夕阳工程，关乎高原银龄群体的幸福晚年；“育婴”是朝阳事业，关系民族未来的健康成长。本次培训，就是要让州内的18-45岁的广大妇女共60人掌握“科学、专业、有温度”的服务技能，把“净土阿妹”的招牌擦得更亮，让阿坝女性的“巧手仁心”成为全州、全省千万家庭信任的“幸福使者”。</w:t>
            </w:r>
            <w:r>
              <w:rPr>
                <w:rStyle w:val="36"/>
                <w:rFonts w:eastAsia="宋体"/>
                <w:lang w:val="en-US" w:eastAsia="zh-CN" w:bidi="ar"/>
              </w:rPr>
              <w:t xml:space="preserve"> </w:t>
            </w:r>
            <w:r>
              <w:rPr>
                <w:rStyle w:val="35"/>
                <w:lang w:val="en-US" w:eastAsia="zh-CN" w:bidi="ar"/>
              </w:rPr>
              <w:br w:type="textWrapping"/>
            </w:r>
            <w:r>
              <w:rPr>
                <w:rStyle w:val="36"/>
                <w:rFonts w:eastAsia="宋体"/>
                <w:lang w:val="en-US" w:eastAsia="zh-CN" w:bidi="ar"/>
              </w:rPr>
              <w:t xml:space="preserve">       </w:t>
            </w:r>
            <w:r>
              <w:rPr>
                <w:rStyle w:val="35"/>
                <w:lang w:val="en-US" w:eastAsia="zh-CN" w:bidi="ar"/>
              </w:rPr>
              <w:br w:type="textWrapping"/>
            </w:r>
            <w:r>
              <w:rPr>
                <w:rStyle w:val="36"/>
                <w:rFonts w:eastAsia="宋体"/>
                <w:lang w:val="en-US" w:eastAsia="zh-CN" w:bidi="ar"/>
              </w:rPr>
              <w:t xml:space="preserve">       </w:t>
            </w:r>
            <w:r>
              <w:rPr>
                <w:rStyle w:val="35"/>
                <w:lang w:val="en-US" w:eastAsia="zh-CN" w:bidi="ar"/>
              </w:rPr>
              <w:br w:type="textWrapping"/>
            </w:r>
            <w:r>
              <w:rPr>
                <w:rStyle w:val="36"/>
                <w:rFonts w:eastAsia="宋体"/>
                <w:lang w:val="en-US" w:eastAsia="zh-CN" w:bidi="ar"/>
              </w:rPr>
              <w:t xml:space="preserve">      </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 xml:space="preserve">让州内的18-45岁的广大妇女共60人掌握“科学、专业、有温度”的服务技能，把“净土阿妹”的招牌擦得更亮，让阿坝女性的“巧手仁心”成为全州、全省千万家庭信任的“幸福使者”。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让州内的18-45岁的广大妇女共60人掌握“科学、专业、有温度”的服务技能，把“净土阿妹”的招牌擦得更亮，让阿坝女性的“巧手仁心”成为全州、全省千万家庭信任的“幸福使者”。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培训天数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培训质量达标率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2025年10月底</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2025年10月底</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提升培训对象家政技能</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培训对象</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资金利用率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项目严格按照决策管理要求实施，达到预期成效，自评分100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项目负责人：赵赛男</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51320026T000014345791-母亲健康护航行动公益项目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提升女性“两癌”的早诊、早治率，帮助解决困境妇女“两癌”治疗难题，提高女性健康水平。松潘县8万元、若尔盖县6万元、九寨沟县5.5万元、壤塘县5.5万元，阿坝县5万元，合计30万元.为阿坝州5县1000名妇女两癌免费筛查，为20名患两癌妇女送去救助金。</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为阿坝州5县1000名妇女两癌免费筛查，为20名患两癌妇女送去救助金。松潘县8万元、若尔盖县6万元、九寨沟县5.5万元、壤塘县5.5万元，阿坝县5万元，合计30万元，截止2025年底，已全部拨付完成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为阿坝州5县1000名妇女两癌免费筛查，为20名患两癌妇女送去救助金。松潘县8万元、若尔盖县6万元、九寨沟县5.5万元、壤塘县5.5万元，阿坝县5万元，合计30万元，截止2025年底，已全部拨付完成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救助两癌妇女人数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两癌免费筛查人数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针对对象筛查及帮扶完成率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提升女性“两癌”早诊、早治意识程度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两癌救助妇女满意度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投入帮扶成本</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项目严格按照决策管理要求实施，达到预期成效，自评分100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项目负责人：赵赛男</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9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5"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0"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51320026T000014390311-2025年度妇女儿童事业发展专项资金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州妇联部门</w:t>
            </w:r>
          </w:p>
        </w:tc>
        <w:tc>
          <w:tcPr>
            <w:tcW w:w="387"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12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基层组织能效提升：建设执委工作室2个（含1个“三新”领域），统-制作执委履职赋能包(含履职工具书、关爱物品等)，带动辐射本届执委开展思想引领、家庭家教指导、爱心妈妈关爱、维权等妇女儿童关爱服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2.“关爱‘39’·一同行动”：建设三八红旗手（集体）工作室1个</w:t>
            </w:r>
          </w:p>
        </w:tc>
        <w:tc>
          <w:tcPr>
            <w:tcW w:w="16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1.基层组织能效提升：建设执委工作室2个（含1个“三新”领域），统-制作执委履职赋能包(含履职工具书、关爱物品等)，带动辐射本届执委开展思想引领、家庭家教指导、爱心妈妈关爱、维权等妇女儿童关爱服务。</w:t>
            </w:r>
            <w:r>
              <w:rPr>
                <w:rFonts w:hint="default" w:ascii="simhei" w:hAnsi="simhei" w:eastAsia="simhei" w:cs="simhei"/>
                <w:i w:val="0"/>
                <w:iCs w:val="0"/>
                <w:color w:val="000000"/>
                <w:kern w:val="0"/>
                <w:sz w:val="18"/>
                <w:szCs w:val="18"/>
                <w:u w:val="none"/>
                <w:lang w:val="en-US" w:eastAsia="zh-CN" w:bidi="ar"/>
              </w:rPr>
              <w:br w:type="textWrapping"/>
            </w:r>
            <w:r>
              <w:rPr>
                <w:rFonts w:hint="default" w:ascii="simhei" w:hAnsi="simhei" w:eastAsia="simhei" w:cs="simhei"/>
                <w:i w:val="0"/>
                <w:iCs w:val="0"/>
                <w:color w:val="000000"/>
                <w:kern w:val="0"/>
                <w:sz w:val="18"/>
                <w:szCs w:val="18"/>
                <w:u w:val="none"/>
                <w:lang w:val="en-US" w:eastAsia="zh-CN" w:bidi="ar"/>
              </w:rPr>
              <w:t>2.“关爱‘39’·一同行动”：建设三八红旗手（集体）工作室1个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基层组织能效提升：建成执委工作室2个（含1个“三新”领域），统-制作执委履职赋能包(含履职工具书、关爱物品等)，带动辐射本届执委开展思想引领、家庭家教指导、爱心妈妈关爱、维权等妇女儿童关爱服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2.“关爱‘39’·一同行动”：建成三八红旗手（集体）工作室1个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4"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建设执委工作室数量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建设三八红旗手（集体）工作室数量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示范辐射、服务落地活跃程度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建设工作室成本</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374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0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项目严格按照决策管理要求实施，达到预期成效，自评分100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25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项目负责人：东文丽</w:t>
            </w:r>
          </w:p>
        </w:tc>
        <w:tc>
          <w:tcPr>
            <w:tcW w:w="24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财务负责人：盛碧慧</w:t>
            </w:r>
          </w:p>
        </w:tc>
      </w:tr>
    </w:tbl>
    <w:p>
      <w:pPr>
        <w:keepNext w:val="0"/>
        <w:keepLines w:val="0"/>
        <w:pageBreakBefore w:val="0"/>
        <w:kinsoku/>
        <w:wordWrap/>
        <w:overflowPunct/>
        <w:topLinePunct w:val="0"/>
        <w:autoSpaceDE/>
        <w:autoSpaceDN/>
        <w:bidi w:val="0"/>
        <w:spacing w:line="578" w:lineRule="exact"/>
        <w:jc w:val="left"/>
        <w:textAlignment w:val="auto"/>
        <w:rPr>
          <w:rFonts w:hint="default" w:eastAsia="仿宋_GB2312"/>
          <w:sz w:val="32"/>
          <w:lang w:val="en-US" w:eastAsia="zh-CN"/>
        </w:rPr>
      </w:pPr>
    </w:p>
    <w:p>
      <w:pPr>
        <w:rPr>
          <w:rFonts w:eastAsia="仿宋_GB2312" w:cs="仿宋_GB2312"/>
          <w:kern w:val="0"/>
          <w:sz w:val="32"/>
          <w:szCs w:val="32"/>
        </w:rPr>
      </w:pPr>
      <w:r>
        <w:rPr>
          <w:rFonts w:hint="default" w:ascii="Times New Roman" w:hAnsi="Times New Roman" w:eastAsia="黑体" w:cs="Times New Roman"/>
          <w:kern w:val="2"/>
          <w:sz w:val="32"/>
          <w:szCs w:val="24"/>
          <w:highlight w:val="none"/>
          <w:lang w:val="en-US" w:eastAsia="zh-CN" w:bidi="ar-SA"/>
        </w:rPr>
        <w:br w:type="page"/>
      </w:r>
    </w:p>
    <w:p>
      <w:pPr>
        <w:spacing w:line="578" w:lineRule="exact"/>
        <w:outlineLvl w:val="0"/>
        <w:rPr>
          <w:rFonts w:eastAsia="仿宋"/>
        </w:rPr>
      </w:pPr>
      <w:bookmarkStart w:id="99" w:name="_Toc15396618"/>
      <w:bookmarkStart w:id="100" w:name="_Toc1780552183"/>
      <w:r>
        <w:rPr>
          <w:rFonts w:hint="eastAsia" w:eastAsia="黑体"/>
          <w:sz w:val="44"/>
          <w:szCs w:val="44"/>
        </w:rPr>
        <w:t>第</w:t>
      </w:r>
      <w:r>
        <w:rPr>
          <w:rStyle w:val="28"/>
          <w:rFonts w:hint="eastAsia" w:eastAsia="黑体"/>
          <w:b w:val="0"/>
        </w:rPr>
        <w:t>五部分 附表</w:t>
      </w:r>
      <w:bookmarkEnd w:id="99"/>
      <w:bookmarkEnd w:id="100"/>
      <w:bookmarkStart w:id="101"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101"/>
    </w:p>
    <w:p>
      <w:pPr>
        <w:pStyle w:val="14"/>
        <w:adjustRightInd w:val="0"/>
        <w:snapToGrid w:val="0"/>
        <w:spacing w:line="560" w:lineRule="exact"/>
        <w:jc w:val="left"/>
        <w:rPr>
          <w:rFonts w:eastAsia="仿宋_GB2312" w:cs="仿宋_GB2312"/>
          <w:sz w:val="32"/>
          <w:szCs w:val="32"/>
        </w:rPr>
      </w:pPr>
      <w:bookmarkStart w:id="102" w:name="_Toc15396620"/>
      <w:r>
        <w:rPr>
          <w:rFonts w:hint="eastAsia" w:eastAsia="仿宋_GB2312" w:cs="仿宋_GB2312"/>
          <w:sz w:val="32"/>
          <w:szCs w:val="32"/>
        </w:rPr>
        <w:t>二、收入决算表</w:t>
      </w:r>
      <w:bookmarkEnd w:id="102"/>
    </w:p>
    <w:p>
      <w:pPr>
        <w:pStyle w:val="14"/>
        <w:adjustRightInd w:val="0"/>
        <w:snapToGrid w:val="0"/>
        <w:spacing w:line="560" w:lineRule="exact"/>
        <w:jc w:val="left"/>
        <w:rPr>
          <w:rFonts w:eastAsia="仿宋_GB2312" w:cs="仿宋_GB2312"/>
          <w:sz w:val="32"/>
          <w:szCs w:val="32"/>
        </w:rPr>
      </w:pPr>
      <w:bookmarkStart w:id="103" w:name="_Toc15396621"/>
      <w:r>
        <w:rPr>
          <w:rFonts w:hint="eastAsia" w:eastAsia="仿宋_GB2312" w:cs="仿宋_GB2312"/>
          <w:sz w:val="32"/>
          <w:szCs w:val="32"/>
        </w:rPr>
        <w:t>三、支出决算表</w:t>
      </w:r>
      <w:bookmarkEnd w:id="103"/>
    </w:p>
    <w:p>
      <w:pPr>
        <w:pStyle w:val="14"/>
        <w:adjustRightInd w:val="0"/>
        <w:snapToGrid w:val="0"/>
        <w:spacing w:line="560" w:lineRule="exact"/>
        <w:jc w:val="left"/>
        <w:rPr>
          <w:rFonts w:eastAsia="仿宋_GB2312" w:cs="仿宋_GB2312"/>
          <w:sz w:val="32"/>
          <w:szCs w:val="32"/>
        </w:rPr>
      </w:pPr>
      <w:bookmarkStart w:id="104" w:name="_Toc15396622"/>
      <w:r>
        <w:rPr>
          <w:rFonts w:hint="eastAsia" w:eastAsia="仿宋_GB2312" w:cs="仿宋_GB2312"/>
          <w:sz w:val="32"/>
          <w:szCs w:val="32"/>
        </w:rPr>
        <w:t>四、财政拨款收入支出决算总表</w:t>
      </w:r>
      <w:bookmarkEnd w:id="104"/>
    </w:p>
    <w:p>
      <w:pPr>
        <w:pStyle w:val="14"/>
        <w:adjustRightInd w:val="0"/>
        <w:snapToGrid w:val="0"/>
        <w:spacing w:line="560" w:lineRule="exact"/>
        <w:jc w:val="left"/>
        <w:rPr>
          <w:rFonts w:eastAsia="仿宋_GB2312" w:cs="仿宋_GB2312"/>
          <w:sz w:val="32"/>
          <w:szCs w:val="32"/>
        </w:rPr>
      </w:pPr>
      <w:bookmarkStart w:id="105" w:name="_Toc15396623"/>
      <w:r>
        <w:rPr>
          <w:rFonts w:hint="eastAsia" w:eastAsia="仿宋_GB2312" w:cs="仿宋_GB2312"/>
          <w:sz w:val="32"/>
          <w:szCs w:val="32"/>
        </w:rPr>
        <w:t>五、财政拨款支出决算明细表</w:t>
      </w:r>
      <w:bookmarkEnd w:id="105"/>
      <w:bookmarkStart w:id="106"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106"/>
    </w:p>
    <w:p>
      <w:pPr>
        <w:pStyle w:val="14"/>
        <w:adjustRightInd w:val="0"/>
        <w:snapToGrid w:val="0"/>
        <w:spacing w:line="560" w:lineRule="exact"/>
        <w:jc w:val="left"/>
        <w:rPr>
          <w:rFonts w:eastAsia="仿宋_GB2312" w:cs="仿宋_GB2312"/>
          <w:sz w:val="32"/>
          <w:szCs w:val="32"/>
        </w:rPr>
      </w:pPr>
      <w:bookmarkStart w:id="107" w:name="_Toc15396625"/>
      <w:r>
        <w:rPr>
          <w:rFonts w:hint="eastAsia" w:eastAsia="仿宋_GB2312" w:cs="仿宋_GB2312"/>
          <w:sz w:val="32"/>
          <w:szCs w:val="32"/>
        </w:rPr>
        <w:t>七、一般公共预算财政拨款支出决算明细表</w:t>
      </w:r>
      <w:bookmarkEnd w:id="107"/>
    </w:p>
    <w:p>
      <w:pPr>
        <w:pStyle w:val="14"/>
        <w:adjustRightInd w:val="0"/>
        <w:snapToGrid w:val="0"/>
        <w:spacing w:line="560" w:lineRule="exact"/>
        <w:jc w:val="left"/>
        <w:rPr>
          <w:rFonts w:eastAsia="仿宋_GB2312" w:cs="仿宋_GB2312"/>
          <w:sz w:val="32"/>
          <w:szCs w:val="32"/>
        </w:rPr>
      </w:pPr>
      <w:bookmarkStart w:id="108" w:name="_Toc15396626"/>
      <w:r>
        <w:rPr>
          <w:rFonts w:hint="eastAsia" w:eastAsia="仿宋_GB2312" w:cs="仿宋_GB2312"/>
          <w:sz w:val="32"/>
          <w:szCs w:val="32"/>
        </w:rPr>
        <w:t>八、一般公共预算财政拨款基本支出决算表</w:t>
      </w:r>
      <w:bookmarkEnd w:id="108"/>
    </w:p>
    <w:p>
      <w:pPr>
        <w:pStyle w:val="14"/>
        <w:adjustRightInd w:val="0"/>
        <w:snapToGrid w:val="0"/>
        <w:spacing w:line="560" w:lineRule="exact"/>
        <w:jc w:val="left"/>
        <w:rPr>
          <w:rFonts w:eastAsia="仿宋_GB2312" w:cs="仿宋_GB2312"/>
          <w:sz w:val="32"/>
          <w:szCs w:val="32"/>
        </w:rPr>
      </w:pPr>
      <w:bookmarkStart w:id="109" w:name="_Toc15396627"/>
      <w:r>
        <w:rPr>
          <w:rFonts w:hint="eastAsia" w:eastAsia="仿宋_GB2312" w:cs="仿宋_GB2312"/>
          <w:sz w:val="32"/>
          <w:szCs w:val="32"/>
        </w:rPr>
        <w:t>九、一般公共预算财政拨款项目支出决算表</w:t>
      </w:r>
      <w:bookmarkEnd w:id="109"/>
    </w:p>
    <w:p>
      <w:pPr>
        <w:pStyle w:val="14"/>
        <w:adjustRightInd w:val="0"/>
        <w:snapToGrid w:val="0"/>
        <w:spacing w:line="560" w:lineRule="exact"/>
        <w:jc w:val="left"/>
        <w:rPr>
          <w:rFonts w:eastAsia="仿宋_GB2312" w:cs="仿宋_GB2312"/>
          <w:sz w:val="32"/>
          <w:szCs w:val="32"/>
        </w:rPr>
      </w:pPr>
      <w:bookmarkStart w:id="110" w:name="_Toc15396628"/>
      <w:r>
        <w:rPr>
          <w:rFonts w:hint="eastAsia" w:eastAsia="仿宋_GB2312" w:cs="仿宋_GB2312"/>
          <w:sz w:val="32"/>
          <w:szCs w:val="32"/>
        </w:rPr>
        <w:t>十、</w:t>
      </w:r>
      <w:bookmarkEnd w:id="110"/>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111" w:name="_Toc15396629"/>
      <w:r>
        <w:rPr>
          <w:rFonts w:hint="eastAsia" w:eastAsia="仿宋_GB2312" w:cs="仿宋_GB2312"/>
          <w:sz w:val="32"/>
          <w:szCs w:val="32"/>
        </w:rPr>
        <w:t>十一、</w:t>
      </w:r>
      <w:bookmarkEnd w:id="111"/>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112" w:name="_Toc15396630"/>
      <w:r>
        <w:rPr>
          <w:rFonts w:hint="eastAsia" w:eastAsia="仿宋_GB2312" w:cs="仿宋_GB2312"/>
          <w:sz w:val="32"/>
          <w:szCs w:val="32"/>
        </w:rPr>
        <w:t>十二、</w:t>
      </w:r>
      <w:bookmarkEnd w:id="112"/>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113" w:name="_Toc15396631"/>
      <w:r>
        <w:rPr>
          <w:rFonts w:hint="eastAsia" w:eastAsia="仿宋_GB2312" w:cs="仿宋_GB2312"/>
          <w:sz w:val="32"/>
          <w:szCs w:val="32"/>
        </w:rPr>
        <w:t>十三、</w:t>
      </w:r>
      <w:bookmarkEnd w:id="113"/>
      <w:r>
        <w:rPr>
          <w:rFonts w:hint="eastAsia" w:eastAsia="仿宋_GB2312" w:cs="仿宋_GB2312"/>
          <w:sz w:val="32"/>
          <w:szCs w:val="32"/>
        </w:rPr>
        <w:t>财政拨款“三公”经费支出决算表</w:t>
      </w:r>
    </w:p>
    <w:p/>
    <w:p>
      <w:pPr>
        <w:rPr>
          <w:rFonts w:hint="eastAsia" w:ascii="Times New Roman" w:hAnsi="Times New Roman"/>
          <w:lang w:eastAsia="zh-CN"/>
        </w:rPr>
      </w:pPr>
    </w:p>
    <w:sectPr>
      <w:footerReference r:id="rId7"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simhei">
    <w:altName w:val="仿宋"/>
    <w:panose1 w:val="00000000000000000000"/>
    <w:charset w:val="00"/>
    <w:family w:val="auto"/>
    <w:pitch w:val="default"/>
    <w:sig w:usb0="00000000" w:usb1="00000000" w:usb2="00000000" w:usb3="00000000" w:csb0="0000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VmZ+MgIAAGMEAAAOAAAAZHJz&#10;L2Uyb0RvYy54bWytVEuOEzEQ3SNxB8t70klG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C5WZn4yAgAAYwQAAA4AAAAAAAAAAQAgAAAA&#10;NQEAAGRycy9lMm9Eb2MueG1sUEsFBgAAAAAGAAYAWQEAANk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020121"/>
    <w:multiLevelType w:val="singleLevel"/>
    <w:tmpl w:val="CA020121"/>
    <w:lvl w:ilvl="0" w:tentative="0">
      <w:start w:val="2"/>
      <w:numFmt w:val="chineseCounting"/>
      <w:suff w:val="nothing"/>
      <w:lvlText w:val="（%1）"/>
      <w:lvlJc w:val="left"/>
      <w:rPr>
        <w:rFonts w:hint="eastAsia"/>
      </w:rPr>
    </w:lvl>
  </w:abstractNum>
  <w:abstractNum w:abstractNumId="1">
    <w:nsid w:val="7F2B7C02"/>
    <w:multiLevelType w:val="singleLevel"/>
    <w:tmpl w:val="7F2B7C0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0FF6B622"/>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7E837A"/>
    <w:rsid w:val="3CEBA265"/>
    <w:rsid w:val="3D98207C"/>
    <w:rsid w:val="3D9B0D99"/>
    <w:rsid w:val="3DEE7CF3"/>
    <w:rsid w:val="3DF02244"/>
    <w:rsid w:val="3DFF3012"/>
    <w:rsid w:val="3E78745D"/>
    <w:rsid w:val="3FDF5AB4"/>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5B025F"/>
    <w:rsid w:val="5ECEC941"/>
    <w:rsid w:val="5F493CB7"/>
    <w:rsid w:val="5F7F4C00"/>
    <w:rsid w:val="5FBF9FF3"/>
    <w:rsid w:val="5FCD4E2C"/>
    <w:rsid w:val="5FD15F49"/>
    <w:rsid w:val="5FEF394A"/>
    <w:rsid w:val="5FF67715"/>
    <w:rsid w:val="5FFF8BEC"/>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2F42E8E"/>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AC6A"/>
    <w:rsid w:val="7BBFBED0"/>
    <w:rsid w:val="7BC3E394"/>
    <w:rsid w:val="7C1F3737"/>
    <w:rsid w:val="7CBFC87B"/>
    <w:rsid w:val="7CDD025E"/>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1C533"/>
    <w:rsid w:val="7FDA9588"/>
    <w:rsid w:val="7FDF220F"/>
    <w:rsid w:val="7FDF9EC5"/>
    <w:rsid w:val="7FEDC5F7"/>
    <w:rsid w:val="7FEDD9DE"/>
    <w:rsid w:val="7FF5890D"/>
    <w:rsid w:val="7FF93490"/>
    <w:rsid w:val="99FF2014"/>
    <w:rsid w:val="A6DD0D7F"/>
    <w:rsid w:val="ADC6F725"/>
    <w:rsid w:val="B7CF06AB"/>
    <w:rsid w:val="B7CFA926"/>
    <w:rsid w:val="B7F8786B"/>
    <w:rsid w:val="BABB6AA1"/>
    <w:rsid w:val="BAF3F5EA"/>
    <w:rsid w:val="BB2F4199"/>
    <w:rsid w:val="BBEBCFD3"/>
    <w:rsid w:val="BD079C78"/>
    <w:rsid w:val="BD733540"/>
    <w:rsid w:val="BF3735D5"/>
    <w:rsid w:val="BF7F09AC"/>
    <w:rsid w:val="BFD475C3"/>
    <w:rsid w:val="BFDE5EA6"/>
    <w:rsid w:val="BFEEEB75"/>
    <w:rsid w:val="CF6FC6F3"/>
    <w:rsid w:val="CFD3D3D7"/>
    <w:rsid w:val="CFDF1009"/>
    <w:rsid w:val="D7D7B16A"/>
    <w:rsid w:val="D8D6DB89"/>
    <w:rsid w:val="DB6F4CAB"/>
    <w:rsid w:val="DB777682"/>
    <w:rsid w:val="DD1FB521"/>
    <w:rsid w:val="DEFBFEAE"/>
    <w:rsid w:val="DF1F3B80"/>
    <w:rsid w:val="DF6F9789"/>
    <w:rsid w:val="DFFFA9E8"/>
    <w:rsid w:val="E5DE1C6E"/>
    <w:rsid w:val="E5F4E9DC"/>
    <w:rsid w:val="E70FE695"/>
    <w:rsid w:val="ECFED1BC"/>
    <w:rsid w:val="ED1D69BB"/>
    <w:rsid w:val="ED7FD312"/>
    <w:rsid w:val="EF53993F"/>
    <w:rsid w:val="EF6FD633"/>
    <w:rsid w:val="EFBFB2F4"/>
    <w:rsid w:val="EFBFFA21"/>
    <w:rsid w:val="F2BEBCB8"/>
    <w:rsid w:val="F36FB518"/>
    <w:rsid w:val="F3DE1A04"/>
    <w:rsid w:val="F3F722E5"/>
    <w:rsid w:val="F55D811E"/>
    <w:rsid w:val="F7BB9D8A"/>
    <w:rsid w:val="FA5F1E70"/>
    <w:rsid w:val="FA5FDB97"/>
    <w:rsid w:val="FB3398D6"/>
    <w:rsid w:val="FB7F486A"/>
    <w:rsid w:val="FBFF5B2E"/>
    <w:rsid w:val="FD7FFE2B"/>
    <w:rsid w:val="FDEE196B"/>
    <w:rsid w:val="FDF44536"/>
    <w:rsid w:val="FDF6C6F5"/>
    <w:rsid w:val="FDFE6575"/>
    <w:rsid w:val="FEDFDDC2"/>
    <w:rsid w:val="FEED32F6"/>
    <w:rsid w:val="FEF781DD"/>
    <w:rsid w:val="FF3F7E3F"/>
    <w:rsid w:val="FFBA12D7"/>
    <w:rsid w:val="FFDFFAEE"/>
    <w:rsid w:val="FFEFCF0E"/>
    <w:rsid w:val="FFF7738B"/>
    <w:rsid w:val="FFF9B57B"/>
    <w:rsid w:val="FFFA8F26"/>
    <w:rsid w:val="FFFD61D9"/>
    <w:rsid w:val="FFFD8F59"/>
    <w:rsid w:val="FFFF2BB1"/>
    <w:rsid w:val="FFFF6BCF"/>
    <w:rsid w:val="FFFFAFFD"/>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font21"/>
    <w:basedOn w:val="16"/>
    <w:qFormat/>
    <w:uiPriority w:val="0"/>
    <w:rPr>
      <w:rFonts w:ascii="宋体" w:hAnsi="宋体" w:eastAsia="宋体" w:cs="宋体"/>
      <w:color w:val="000000"/>
      <w:sz w:val="18"/>
      <w:szCs w:val="18"/>
      <w:u w:val="none"/>
    </w:rPr>
  </w:style>
  <w:style w:type="character" w:customStyle="1" w:styleId="36">
    <w:name w:val="font01"/>
    <w:basedOn w:val="16"/>
    <w:qFormat/>
    <w:uiPriority w:val="0"/>
    <w:rPr>
      <w:rFonts w:ascii="Arial" w:hAnsi="Arial" w:cs="Arial"/>
      <w:color w:val="000000"/>
      <w:sz w:val="18"/>
      <w:szCs w:val="18"/>
      <w:u w:val="none"/>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media/user/KINGSTON/2026&#36130;&#21153;/2025&#20915;&#31639;&#20844;&#24320;/EXCEL20260902095620/116-&#24030;&#22919;&#32852;&#37096;&#38376;_2025&#24180;&#24230;&#20915;&#31639;&#22270;&#34920;&#25968;&#25454;%20(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media/user/KINGSTON/2026&#36130;&#21153;/2025&#20915;&#31639;&#20844;&#24320;/EXCEL20260902095620/116-&#24030;&#22919;&#32852;&#37096;&#38376;_2025&#24180;&#24230;&#20915;&#31639;&#22270;&#34920;&#25968;&#25454;%20(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media/user/KINGSTON/2026&#36130;&#21153;/2025&#20915;&#31639;&#20844;&#24320;/EXCEL20260902095620/116-&#24030;&#22919;&#32852;&#37096;&#38376;_2025&#24180;&#24230;&#20915;&#31639;&#22270;&#34920;&#25968;&#25454;%20(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media/user/KINGSTON/2026&#36130;&#21153;/2025&#20915;&#31639;&#20844;&#24320;/EXCEL20260902095620/116-&#24030;&#22919;&#32852;&#37096;&#38376;_2025&#24180;&#24230;&#20915;&#31639;&#22270;&#34920;&#25968;&#25454;%20(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media/user/KINGSTON/2026&#36130;&#21153;/2025&#20915;&#31639;&#20844;&#24320;/EXCEL20260902095620/116-&#24030;&#22919;&#32852;&#37096;&#38376;_2025&#24180;&#24230;&#20915;&#31639;&#22270;&#34920;&#25968;&#25454;%20(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media/user/KINGSTON/2026&#36130;&#21153;/2025&#20915;&#31639;&#20844;&#24320;/EXCEL20260902095620/116-&#24030;&#22919;&#32852;&#37096;&#38376;_2025&#24180;&#24230;&#20915;&#31639;&#22270;&#34920;&#25968;&#25454;%20(1).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media/user/KINGSTON/2026&#36130;&#21153;/2025&#20915;&#31639;&#20844;&#24320;/EXCEL20260902095620/116-&#24030;&#22919;&#32852;&#37096;&#38376;_2025&#24180;&#24230;&#20915;&#31639;&#22270;&#34920;&#25968;&#25454;%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a:t>
            </a:r>
          </a:p>
        </c:rich>
      </c:tx>
      <c:layout/>
      <c:overlay val="0"/>
      <c:spPr>
        <a:noFill/>
        <a:ln>
          <a:noFill/>
        </a:ln>
        <a:effectLst/>
      </c:spPr>
    </c:title>
    <c:autoTitleDeleted val="0"/>
    <c:plotArea>
      <c:layout/>
      <c:barChart>
        <c:barDir val="col"/>
        <c:grouping val="clustered"/>
        <c:varyColors val="0"/>
        <c:ser>
          <c:idx val="0"/>
          <c:order val="0"/>
          <c:tx>
            <c:strRef>
              <c:f>'[116-州妇联部门_2025年度决算图表数据 (1).xlsx]图1_收入、支出决算总计变动情况图'!$A$3</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'[116-州妇联部门_2025年度决算图表数据 (1).xlsx]图1_收入、支出决算总计变动情况图'!$B$1:$C$2</c:f>
              <c:multiLvlStrCache>
                <c:ptCount val="2"/>
                <c:lvl>
                  <c:pt idx="0">
                    <c:v>收入总计</c:v>
                  </c:pt>
                  <c:pt idx="1">
                    <c:v>支出总计</c:v>
                  </c:pt>
                </c:lvl>
                <c:lvl/>
              </c:multiLvlStrCache>
            </c:multiLvlStrRef>
          </c:cat>
          <c:val>
            <c:numRef>
              <c:f>'[116-州妇联部门_2025年度决算图表数据 (1).xlsx]图1_收入、支出决算总计变动情况图'!$B$3:$C$3</c:f>
              <c:numCache>
                <c:formatCode>General</c:formatCode>
                <c:ptCount val="2"/>
                <c:pt idx="0">
                  <c:v>961.18</c:v>
                </c:pt>
                <c:pt idx="1">
                  <c:v>961.18</c:v>
                </c:pt>
              </c:numCache>
            </c:numRef>
          </c:val>
        </c:ser>
        <c:ser>
          <c:idx val="1"/>
          <c:order val="1"/>
          <c:tx>
            <c:strRef>
              <c:f>'[116-州妇联部门_2025年度决算图表数据 (1).xlsx]图1_收入、支出决算总计变动情况图'!$A$4</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'[116-州妇联部门_2025年度决算图表数据 (1).xlsx]图1_收入、支出决算总计变动情况图'!$B$1:$C$2</c:f>
              <c:multiLvlStrCache>
                <c:ptCount val="2"/>
                <c:lvl>
                  <c:pt idx="0">
                    <c:v>收入总计</c:v>
                  </c:pt>
                  <c:pt idx="1">
                    <c:v>支出总计</c:v>
                  </c:pt>
                </c:lvl>
                <c:lvl/>
              </c:multiLvlStrCache>
            </c:multiLvlStrRef>
          </c:cat>
          <c:val>
            <c:numRef>
              <c:f>'[116-州妇联部门_2025年度决算图表数据 (1).xlsx]图1_收入、支出决算总计变动情况图'!$B$4:$C$4</c:f>
              <c:numCache>
                <c:formatCode>General</c:formatCode>
                <c:ptCount val="2"/>
                <c:pt idx="0">
                  <c:v>920.69</c:v>
                </c:pt>
                <c:pt idx="1">
                  <c:v>920.69</c:v>
                </c:pt>
              </c:numCache>
            </c:numRef>
          </c:val>
        </c:ser>
        <c:dLbls>
          <c:showLegendKey val="0"/>
          <c:showVal val="1"/>
          <c:showCatName val="0"/>
          <c:showSerName val="0"/>
          <c:showPercent val="0"/>
          <c:showBubbleSize val="0"/>
        </c:dLbls>
        <c:gapWidth val="219"/>
        <c:overlap val="-27"/>
        <c:axId val="447163065"/>
        <c:axId val="242264527"/>
      </c:barChart>
      <c:catAx>
        <c:axId val="44716306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264527"/>
        <c:crosses val="autoZero"/>
        <c:auto val="1"/>
        <c:lblAlgn val="ctr"/>
        <c:lblOffset val="100"/>
        <c:noMultiLvlLbl val="0"/>
      </c:catAx>
      <c:valAx>
        <c:axId val="2422645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71630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65138888888889"/>
          <c:y val="0.822916666666667"/>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'[116-州妇联部门_2025年度决算图表数据 (1).xlsx]图2_收入决算结构图'!$A$3</c:f>
              <c:strCache>
                <c:ptCount val="1"/>
                <c:pt idx="0">
                  <c:v>一般公共预算财政拨款收入</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'[116-州妇联部门_2025年度决算图表数据 (1).xlsx]图2_收入决算结构图'!$B$1:$C$2</c:f>
              <c:multiLvlStrCache>
                <c:ptCount val="2"/>
                <c:lvl>
                  <c:pt idx="0">
                    <c:v>金额（万元）</c:v>
                  </c:pt>
                  <c:pt idx="1">
                    <c:v>占比</c:v>
                  </c:pt>
                </c:lvl>
                <c:lvl/>
              </c:multiLvlStrCache>
            </c:multiLvlStrRef>
          </c:cat>
          <c:val>
            <c:numRef>
              <c:f>'[116-州妇联部门_2025年度决算图表数据 (1).xlsx]图2_收入决算结构图'!$B$3:$C$3</c:f>
              <c:numCache>
                <c:formatCode>General</c:formatCode>
                <c:ptCount val="2"/>
                <c:pt idx="0">
                  <c:v>920.69</c:v>
                </c:pt>
                <c:pt idx="1" c:formatCode="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支出决算结构图占比</a:t>
            </a:r>
          </a:p>
        </c:rich>
      </c:tx>
      <c:layout/>
      <c:overlay val="0"/>
      <c:spPr>
        <a:noFill/>
        <a:ln>
          <a:noFill/>
        </a:ln>
        <a:effectLst/>
      </c:spPr>
    </c:title>
    <c:autoTitleDeleted val="0"/>
    <c:plotArea>
      <c:layout/>
      <c:pieChart>
        <c:varyColors val="1"/>
        <c:ser>
          <c:idx val="1"/>
          <c:order val="1"/>
          <c:tx>
            <c:strRef>
              <c:f>'[116-州妇联部门_2025年度决算图表数据 (1).xlsx]图3_支出决算结构图'!$C$1:$C$3</c:f>
              <c:strCache>
                <c:ptCount val="1"/>
                <c:pt idx="0">
                  <c:v>图3：支出决算结构图 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'[116-州妇联部门_2025年度决算图表数据 (1).xlsx]图3_支出决算结构图'!$A$4:$A$5</c:f>
              <c:strCache>
                <c:ptCount val="2"/>
                <c:pt idx="0">
                  <c:v>基本支出</c:v>
                </c:pt>
                <c:pt idx="1">
                  <c:v>项目支出</c:v>
                </c:pt>
              </c:strCache>
            </c:strRef>
          </c:cat>
          <c:val>
            <c:numRef>
              <c:f>'[116-州妇联部门_2025年度决算图表数据 (1).xlsx]图3_支出决算结构图'!$C$4:$C$5</c:f>
              <c:numCache>
                <c:formatCode>0.00%</c:formatCode>
                <c:ptCount val="2"/>
                <c:pt idx="0">
                  <c:v>0.5618</c:v>
                </c:pt>
                <c:pt idx="1">
                  <c:v>0.4382</c:v>
                </c:pt>
              </c:numCache>
            </c:numRef>
          </c:val>
        </c:ser>
        <c:dLbls>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'[116-州妇联部门_2025年度决算图表数据 (1).xlsx]图3_支出决算结构图'!$B$1:$B$3</c15:sqref>
                        </c15:formulaRef>
                      </c:ext>
                    </c:extLst>
                    <c:strCache>
                      <c:ptCount val="1"/>
                      <c:pt idx="0">
                        <c:v>图3：支出决算结构图 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'[116-州妇联部门_2025年度决算图表数据 (1).xlsx]图3_支出决算结构图'!$A$4:$A$5</c15:sqref>
                        </c15:formulaRef>
                      </c:ext>
                    </c:extLst>
                    <c:strCache>
                      <c:ptCount val="2"/>
                      <c:pt idx="0">
                        <c:v>基本支出</c:v>
                      </c:pt>
                      <c:pt idx="1">
                        <c:v>项目支出</c:v>
                      </c:pt>
                    </c:strCache>
                  </c:strRef>
                </c:cat>
                <c:val>
                  <c:numRef>
                    <c:extLst>
                      <c:ext uri="{02D57815-91ED-43cb-92C2-25804820EDAC}">
                        <c15:formulaRef>
                          <c15:sqref>{517.22,403.47}</c15:sqref>
                        </c15:formulaRef>
                      </c:ext>
                    </c:extLst>
                    <c:numCache>
                      <c:formatCode>General</c:formatCode>
                      <c:ptCount val="2"/>
                      <c:pt idx="0">
                        <c:v>517.22</c:v>
                      </c:pt>
                      <c:pt idx="1">
                        <c:v>403.47</c:v>
                      </c:pt>
                    </c:numCache>
                  </c:numRef>
                </c:val>
              </c15:ser>
            </c15:filteredPieSeries>
          </c:ext>
        </c:extLst>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'[116-州妇联部门_2025年度决算图表数据 (1).xlsx]图4_财政拨款收、支决算总计变动情况'!$A$3</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'[116-州妇联部门_2025年度决算图表数据 (1).xlsx]图4_财政拨款收、支决算总计变动情况'!$B$1:$C$2</c:f>
              <c:multiLvlStrCache>
                <c:ptCount val="2"/>
                <c:lvl>
                  <c:pt idx="0">
                    <c:v>财政拨款收入</c:v>
                  </c:pt>
                  <c:pt idx="1">
                    <c:v>财政拨款支出</c:v>
                  </c:pt>
                </c:lvl>
                <c:lvl/>
              </c:multiLvlStrCache>
            </c:multiLvlStrRef>
          </c:cat>
          <c:val>
            <c:numRef>
              <c:f>'[116-州妇联部门_2025年度决算图表数据 (1).xlsx]图4_财政拨款收、支决算总计变动情况'!$B$3:$C$3</c:f>
              <c:numCache>
                <c:formatCode>General</c:formatCode>
                <c:ptCount val="2"/>
                <c:pt idx="0">
                  <c:v>961.18</c:v>
                </c:pt>
                <c:pt idx="1">
                  <c:v>961.18</c:v>
                </c:pt>
              </c:numCache>
            </c:numRef>
          </c:val>
        </c:ser>
        <c:ser>
          <c:idx val="1"/>
          <c:order val="1"/>
          <c:tx>
            <c:strRef>
              <c:f>'[116-州妇联部门_2025年度决算图表数据 (1).xlsx]图4_财政拨款收、支决算总计变动情况'!$A$4</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'[116-州妇联部门_2025年度决算图表数据 (1).xlsx]图4_财政拨款收、支决算总计变动情况'!$B$1:$C$2</c:f>
              <c:multiLvlStrCache>
                <c:ptCount val="2"/>
                <c:lvl>
                  <c:pt idx="0">
                    <c:v>财政拨款收入</c:v>
                  </c:pt>
                  <c:pt idx="1">
                    <c:v>财政拨款支出</c:v>
                  </c:pt>
                </c:lvl>
                <c:lvl/>
              </c:multiLvlStrCache>
            </c:multiLvlStrRef>
          </c:cat>
          <c:val>
            <c:numRef>
              <c:f>'[116-州妇联部门_2025年度决算图表数据 (1).xlsx]图4_财政拨款收、支决算总计变动情况'!$B$4:$C$4</c:f>
              <c:numCache>
                <c:formatCode>General</c:formatCode>
                <c:ptCount val="2"/>
                <c:pt idx="0">
                  <c:v>920.69</c:v>
                </c:pt>
                <c:pt idx="1">
                  <c:v>920.69</c:v>
                </c:pt>
              </c:numCache>
            </c:numRef>
          </c:val>
        </c:ser>
        <c:dLbls>
          <c:showLegendKey val="0"/>
          <c:showVal val="1"/>
          <c:showCatName val="0"/>
          <c:showSerName val="0"/>
          <c:showPercent val="0"/>
          <c:showBubbleSize val="0"/>
        </c:dLbls>
        <c:gapWidth val="219"/>
        <c:overlap val="-27"/>
        <c:axId val="481332205"/>
        <c:axId val="655696135"/>
      </c:barChart>
      <c:catAx>
        <c:axId val="4813322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5696135"/>
        <c:crosses val="autoZero"/>
        <c:auto val="1"/>
        <c:lblAlgn val="ctr"/>
        <c:lblOffset val="100"/>
        <c:noMultiLvlLbl val="0"/>
      </c:catAx>
      <c:valAx>
        <c:axId val="6556961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13322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 </a:t>
            </a:r>
          </a:p>
        </c:rich>
      </c:tx>
      <c:layout/>
      <c:overlay val="0"/>
      <c:spPr>
        <a:noFill/>
        <a:ln>
          <a:noFill/>
        </a:ln>
        <a:effectLst/>
      </c:spPr>
    </c:title>
    <c:autoTitleDeleted val="0"/>
    <c:plotArea>
      <c:layout/>
      <c:barChart>
        <c:barDir val="col"/>
        <c:grouping val="clustered"/>
        <c:varyColors val="0"/>
        <c:ser>
          <c:idx val="0"/>
          <c:order val="0"/>
          <c:tx>
            <c:strRef>
              <c:f>'[116-州妇联部门_2025年度决算图表数据 (1).xlsx]图5_一般公共预算财政拨款支出决算变动情况'!$B$1:$B$4</c:f>
              <c:strCache>
                <c:ptCount val="1"/>
                <c:pt idx="0">
                  <c:v>图5：一般公共预算财政拨款支出决算变动情况 单位：万元 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'[116-州妇联部门_2025年度决算图表数据 (1).xlsx]图5_一般公共预算财政拨款支出决算变动情况'!$A$5:$A$6</c:f>
              <c:strCache>
                <c:ptCount val="2"/>
                <c:pt idx="0">
                  <c:v>2024年</c:v>
                </c:pt>
                <c:pt idx="1">
                  <c:v>2025年</c:v>
                </c:pt>
              </c:strCache>
            </c:strRef>
          </c:cat>
          <c:val>
            <c:numRef>
              <c:f>'[116-州妇联部门_2025年度决算图表数据 (1).xlsx]图5_一般公共预算财政拨款支出决算变动情况'!$B$5:$B$6</c:f>
              <c:numCache>
                <c:formatCode>General</c:formatCode>
                <c:ptCount val="2"/>
                <c:pt idx="0">
                  <c:v>961.18</c:v>
                </c:pt>
                <c:pt idx="1">
                  <c:v>920.69</c:v>
                </c:pt>
              </c:numCache>
            </c:numRef>
          </c:val>
        </c:ser>
        <c:dLbls>
          <c:showLegendKey val="0"/>
          <c:showVal val="1"/>
          <c:showCatName val="0"/>
          <c:showSerName val="0"/>
          <c:showPercent val="0"/>
          <c:showBubbleSize val="0"/>
        </c:dLbls>
        <c:gapWidth val="219"/>
        <c:overlap val="-27"/>
        <c:axId val="433702636"/>
        <c:axId val="161583789"/>
      </c:barChart>
      <c:catAx>
        <c:axId val="4337026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583789"/>
        <c:crosses val="autoZero"/>
        <c:auto val="1"/>
        <c:lblAlgn val="ctr"/>
        <c:lblOffset val="100"/>
        <c:noMultiLvlLbl val="0"/>
      </c:catAx>
      <c:valAx>
        <c:axId val="16158378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37026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一般公共预算财政拨款支出决算结构图 </a:t>
            </a:r>
          </a:p>
        </c:rich>
      </c:tx>
      <c:layout>
        <c:manualLayout>
          <c:xMode val="edge"/>
          <c:yMode val="edge"/>
          <c:x val="0.167916666666667"/>
          <c:y val="0.0347222222222222"/>
        </c:manualLayout>
      </c:layout>
      <c:overlay val="0"/>
      <c:spPr>
        <a:noFill/>
        <a:ln>
          <a:noFill/>
        </a:ln>
        <a:effectLst/>
      </c:spPr>
    </c:title>
    <c:autoTitleDeleted val="0"/>
    <c:plotArea>
      <c:layout/>
      <c:pieChart>
        <c:varyColors val="1"/>
        <c:ser>
          <c:idx val="1"/>
          <c:order val="1"/>
          <c:tx>
            <c:strRef>
              <c:f>'[116-州妇联部门_2025年度决算图表数据 (1).xlsx]图6_一般公共预算财政拨款支出决算结构图'!$C$1:$C$4</c:f>
              <c:strCache>
                <c:ptCount val="1"/>
                <c:pt idx="0">
                  <c:v>图6：一般公共预算财政拨款支出决算结构图 来源：GK06；卫生健康部门公开表列示20.76（直接相加20.75，见求和对照表尾差说明）。单位：万元。 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1"/>
              <c:layout>
                <c:manualLayout>
                  <c:x val="0.00161014659167586"/>
                  <c:y val="0.035710510170411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068144490725"/>
                  <c:y val="0.018786790231995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'[116-州妇联部门_2025年度决算图表数据 (1).xlsx]图6_一般公共预算财政拨款支出决算结构图'!$A$5:$A$8</c:f>
              <c:strCache>
                <c:ptCount val="4"/>
                <c:pt idx="0">
                  <c:v>一般公共服务支出</c:v>
                </c:pt>
                <c:pt idx="1">
                  <c:v>社会保障和就业支出</c:v>
                </c:pt>
                <c:pt idx="2">
                  <c:v>卫生健康支出</c:v>
                </c:pt>
                <c:pt idx="3">
                  <c:v>住房保障支出</c:v>
                </c:pt>
              </c:strCache>
            </c:strRef>
          </c:cat>
          <c:val>
            <c:numRef>
              <c:f>'[116-州妇联部门_2025年度决算图表数据 (1).xlsx]图6_一般公共预算财政拨款支出决算结构图'!$C$5:$C$8</c:f>
              <c:numCache>
                <c:formatCode>0.00%</c:formatCode>
                <c:ptCount val="4"/>
                <c:pt idx="0">
                  <c:v>0.8628</c:v>
                </c:pt>
                <c:pt idx="1">
                  <c:v>0.0805</c:v>
                </c:pt>
                <c:pt idx="2">
                  <c:v>0.0225</c:v>
                </c:pt>
                <c:pt idx="3">
                  <c:v>0.0341</c:v>
                </c:pt>
              </c:numCache>
            </c:numRef>
          </c:val>
        </c:ser>
        <c:dLbls>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'[116-州妇联部门_2025年度决算图表数据 (1).xlsx]图6_一般公共预算财政拨款支出决算结构图'!$B$1:$B$4</c15:sqref>
                        </c15:formulaRef>
                      </c:ext>
                    </c:extLst>
                    <c:strCache>
                      <c:ptCount val="1"/>
                      <c:pt idx="0">
                        <c:v>图6：一般公共预算财政拨款支出决算结构图 来源：GK06；卫生健康部门公开表列示20.76（直接相加20.75，见求和对照表尾差说明）。单位：万元。 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1"/>
                    <c:layout>
                      <c:manualLayout>
                        <c:x val="-0.0377933306707823"/>
                        <c:y val="0.064478650896394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242590004057"/>
                        <c:y val="-0.0055318975176136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512145825703498"/>
                        <c:y val="0.011668226297697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'[116-州妇联部门_2025年度决算图表数据 (1).xlsx]图6_一般公共预算财政拨款支出决算结构图'!$A$5:$A$8</c15:sqref>
                        </c15:formulaRef>
                      </c:ext>
                    </c:extLst>
                    <c:strCache>
                      <c:ptCount val="4"/>
                      <c:pt idx="0">
                        <c:v>一般公共服务支出</c:v>
                      </c:pt>
                      <c:pt idx="1">
                        <c:v>社会保障和就业支出</c:v>
                      </c:pt>
                      <c:pt idx="2">
                        <c:v>卫生健康支出</c:v>
                      </c:pt>
                      <c:pt idx="3">
                        <c:v>住房保障支出</c:v>
                      </c:pt>
                    </c:strCache>
                  </c:strRef>
                </c:cat>
                <c:val>
                  <c:numRef>
                    <c:extLst>
                      <c:ext uri="{02D57815-91ED-43cb-92C2-25804820EDAC}">
                        <c15:formulaRef>
                          <c15:sqref>{794.36,74.16,20.76,31.41}</c15:sqref>
                        </c15:formulaRef>
                      </c:ext>
                    </c:extLst>
                    <c:numCache>
                      <c:formatCode>General</c:formatCode>
                      <c:ptCount val="4"/>
                      <c:pt idx="0">
                        <c:v>794.36</c:v>
                      </c:pt>
                      <c:pt idx="1">
                        <c:v>74.16</c:v>
                      </c:pt>
                      <c:pt idx="2">
                        <c:v>20.76</c:v>
                      </c:pt>
                      <c:pt idx="3">
                        <c:v>31.41</c:v>
                      </c:pt>
                    </c:numCache>
                  </c:numRef>
                </c:val>
              </c15:ser>
            </c15:filteredPieSeries>
          </c:ext>
        </c:extLst>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 2025年占比</a:t>
            </a:r>
          </a:p>
        </c:rich>
      </c:tx>
      <c:layout/>
      <c:overlay val="0"/>
      <c:spPr>
        <a:noFill/>
        <a:ln>
          <a:noFill/>
        </a:ln>
        <a:effectLst/>
      </c:spPr>
    </c:title>
    <c:autoTitleDeleted val="0"/>
    <c:plotArea>
      <c:layout/>
      <c:pieChart>
        <c:varyColors val="1"/>
        <c:ser>
          <c:idx val="0"/>
          <c:order val="0"/>
          <c:tx>
            <c:strRef>
              <c:f>'[116-州妇联部门_2025年度决算图表数据 (1).xlsx]图7_财政拨款“三公”经费支出结构'!$B$1:$B$2</c:f>
              <c:strCache>
                <c:ptCount val="1"/>
                <c:pt idx="0">
                  <c:v>图7：财政拨款“三公”经费支出结构 2025年占比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2"/>
              <c:layout>
                <c:manualLayout>
                  <c:x val="0.132816540911845"/>
                  <c:y val="0.03269034923191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'[116-州妇联部门_2025年度决算图表数据 (1).xlsx]图7_财政拨款“三公”经费支出结构'!$A$3:$A$5</c:f>
              <c:strCache>
                <c:ptCount val="3"/>
                <c:pt idx="0">
                  <c:v>因公出国（境）费</c:v>
                </c:pt>
                <c:pt idx="1">
                  <c:v>公务用车购置及运行维护费</c:v>
                </c:pt>
                <c:pt idx="2">
                  <c:v>公务接待费</c:v>
                </c:pt>
              </c:strCache>
            </c:strRef>
          </c:cat>
          <c:val>
            <c:numRef>
              <c:f>'[116-州妇联部门_2025年度决算图表数据 (1).xlsx]图7_财政拨款“三公”经费支出结构'!$B$3:$B$5</c:f>
              <c:numCache>
                <c:formatCode>0.00%</c:formatCode>
                <c:ptCount val="3"/>
                <c:pt idx="0">
                  <c:v>0</c:v>
                </c:pt>
                <c:pt idx="1">
                  <c:v>0.9966</c:v>
                </c:pt>
                <c:pt idx="2">
                  <c:v>0.0034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34</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2026-09-18T13:16:30Z</cp:lastPrinted>
  <dcterms:modified xsi:type="dcterms:W3CDTF">2026-09-18T13:50:44Z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DE67E2562167A8B64CFFA96A7629E72D</vt:lpwstr>
  </property>
</Properties>
</file>