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仿宋_GB2312" w:eastAsia="仿宋_GB2312"/>
          <w:sz w:val="32"/>
          <w:szCs w:val="32"/>
        </w:rPr>
      </w:pPr>
      <w:bookmarkStart w:id="0" w:name="_Toc15396475"/>
      <w:bookmarkStart w:id="1" w:name="_Toc15378441"/>
      <w:bookmarkStart w:id="2" w:name="_Toc15377425"/>
      <w:bookmarkStart w:id="3" w:name="_Toc15377193"/>
      <w:bookmarkStart w:id="4" w:name="_Toc15396597"/>
      <w:bookmarkStart w:id="5" w:name="_Toc15306267"/>
      <w:r>
        <w:rPr>
          <w:rFonts w:hint="eastAsia" w:ascii="仿宋_GB2312" w:eastAsia="仿宋_GB2312"/>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6" w:name="_Toc115172184"/>
      <w:r>
        <w:rPr>
          <w:rFonts w:hint="eastAsia" w:ascii="方正小标宋简体" w:eastAsia="方正小标宋简体" w:cs="方正小标宋简体"/>
          <w:sz w:val="72"/>
          <w:szCs w:val="72"/>
        </w:rPr>
        <w:t>2021年度</w:t>
      </w:r>
      <w:bookmarkEnd w:id="0"/>
      <w:bookmarkEnd w:id="1"/>
      <w:bookmarkEnd w:id="2"/>
      <w:bookmarkEnd w:id="3"/>
      <w:bookmarkEnd w:id="4"/>
      <w:bookmarkEnd w:id="6"/>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7" w:name="_Toc115172185"/>
      <w:bookmarkStart w:id="8" w:name="_Toc15377426"/>
      <w:bookmarkStart w:id="9" w:name="_Toc15396476"/>
      <w:bookmarkStart w:id="10" w:name="_Toc15378442"/>
      <w:bookmarkStart w:id="11" w:name="_Toc15396598"/>
      <w:bookmarkStart w:id="12" w:name="_Toc15377194"/>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rPr>
        <w:t>妇女联合会</w:t>
      </w:r>
      <w:bookmarkEnd w:id="7"/>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14" w:name="_Toc115172186"/>
      <w:r>
        <w:rPr>
          <w:rFonts w:hint="eastAsia" w:ascii="方正小标宋简体" w:eastAsia="方正小标宋简体" w:cs="方正小标宋简体"/>
          <w:sz w:val="72"/>
          <w:szCs w:val="72"/>
        </w:rPr>
        <w:t>部门决算</w:t>
      </w:r>
      <w:bookmarkEnd w:id="8"/>
      <w:bookmarkEnd w:id="9"/>
      <w:bookmarkEnd w:id="10"/>
      <w:bookmarkEnd w:id="11"/>
      <w:bookmarkEnd w:id="12"/>
      <w:bookmarkEnd w:id="13"/>
      <w:bookmarkEnd w:id="14"/>
    </w:p>
    <w:p>
      <w:pPr>
        <w:adjustRightInd w:val="0"/>
        <w:snapToGrid w:val="0"/>
        <w:spacing w:line="360" w:lineRule="auto"/>
        <w:jc w:val="center"/>
        <w:outlineLvl w:val="0"/>
        <w:rPr>
          <w:rFonts w:ascii="方正小标宋简体" w:eastAsia="方正小标宋简体"/>
          <w:sz w:val="52"/>
          <w:szCs w:val="52"/>
        </w:rPr>
      </w:pPr>
    </w:p>
    <w:p>
      <w:pPr>
        <w:pStyle w:val="5"/>
        <w:spacing w:before="93"/>
      </w:pPr>
    </w:p>
    <w:p>
      <w:pPr>
        <w:pStyle w:val="5"/>
        <w:spacing w:before="93"/>
      </w:pPr>
    </w:p>
    <w:p>
      <w:pPr>
        <w:pStyle w:val="5"/>
        <w:spacing w:before="93"/>
      </w:pPr>
    </w:p>
    <w:p>
      <w:pPr>
        <w:pStyle w:val="5"/>
        <w:spacing w:before="93"/>
      </w:pPr>
    </w:p>
    <w:p>
      <w:pPr>
        <w:pStyle w:val="5"/>
        <w:spacing w:before="93"/>
      </w:pPr>
    </w:p>
    <w:p>
      <w:pPr>
        <w:widowControl/>
        <w:ind w:firstLine="640" w:firstLineChars="200"/>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3"/>
        <w:ind w:firstLine="560" w:firstLineChars="200"/>
      </w:pPr>
      <w:r>
        <w:rPr>
          <w:rFonts w:hint="eastAsia"/>
        </w:rPr>
        <w:t>公开时间：2022年</w:t>
      </w:r>
      <w:r>
        <w:t>9</w:t>
      </w:r>
      <w:r>
        <w:rPr>
          <w:rFonts w:hint="eastAsia"/>
        </w:rPr>
        <w:t>月29日</w:t>
      </w:r>
    </w:p>
    <w:p/>
    <w:p>
      <w:pPr>
        <w:pStyle w:val="13"/>
        <w:adjustRightInd w:val="0"/>
        <w:snapToGrid w:val="0"/>
        <w:spacing w:before="0" w:line="440" w:lineRule="exact"/>
        <w:ind w:firstLine="480" w:firstLineChars="200"/>
        <w:jc w:val="left"/>
        <w:rPr>
          <w:rFonts w:cs="Arial"/>
          <w:sz w:val="24"/>
          <w:szCs w:val="24"/>
          <w:u w:val="dotted"/>
        </w:rPr>
      </w:pPr>
      <w:r>
        <w:rPr>
          <w:rFonts w:hint="eastAsia" w:ascii="Times New Roman" w:eastAsia="宋体"/>
          <w:sz w:val="24"/>
          <w:szCs w:val="24"/>
        </w:rPr>
        <w:t>第一部分部门概况</w:t>
      </w:r>
      <w:r>
        <w:rPr>
          <w:rFonts w:hint="eastAsia"/>
          <w:sz w:val="24"/>
          <w:u w:val="dotted"/>
        </w:rPr>
        <w:t xml:space="preserve">                                               </w:t>
      </w:r>
      <w:r>
        <w:rPr>
          <w:rFonts w:hint="eastAsia"/>
          <w:sz w:val="24"/>
        </w:rPr>
        <w:t>1</w:t>
      </w:r>
    </w:p>
    <w:p>
      <w:pPr>
        <w:pStyle w:val="14"/>
        <w:adjustRightInd w:val="0"/>
        <w:snapToGrid w:val="0"/>
        <w:spacing w:line="440" w:lineRule="exact"/>
        <w:ind w:left="420" w:firstLine="480" w:firstLineChars="200"/>
        <w:jc w:val="left"/>
        <w:rPr>
          <w:rFonts w:ascii="仿宋" w:eastAsia="仿宋"/>
          <w:sz w:val="24"/>
          <w:u w:val="dotted"/>
        </w:rPr>
      </w:pPr>
      <w:r>
        <w:rPr>
          <w:rFonts w:hint="eastAsia"/>
          <w:sz w:val="24"/>
        </w:rPr>
        <w:t>一、基本职能及主要工作</w:t>
      </w:r>
      <w:r>
        <w:rPr>
          <w:rFonts w:hint="eastAsia"/>
          <w:sz w:val="24"/>
          <w:u w:val="dotted"/>
        </w:rPr>
        <w:t xml:space="preserve">                                      </w:t>
      </w:r>
      <w:r>
        <w:rPr>
          <w:rFonts w:hint="eastAsia"/>
          <w:sz w:val="24"/>
        </w:rPr>
        <w:t>1</w:t>
      </w:r>
    </w:p>
    <w:p>
      <w:pPr>
        <w:pStyle w:val="14"/>
        <w:adjustRightInd w:val="0"/>
        <w:snapToGrid w:val="0"/>
        <w:spacing w:line="440" w:lineRule="exact"/>
        <w:ind w:left="420" w:firstLine="480" w:firstLineChars="200"/>
        <w:jc w:val="left"/>
        <w:rPr>
          <w:rFonts w:ascii="仿宋" w:eastAsia="仿宋" w:cs="Arial"/>
          <w:sz w:val="24"/>
        </w:rPr>
      </w:pPr>
      <w:r>
        <w:rPr>
          <w:rFonts w:hint="eastAsia"/>
          <w:sz w:val="24"/>
        </w:rPr>
        <w:t>二、机构设置</w:t>
      </w:r>
      <w:r>
        <w:rPr>
          <w:rFonts w:hint="eastAsia"/>
          <w:sz w:val="24"/>
          <w:u w:val="dotted"/>
        </w:rPr>
        <w:t xml:space="preserve">                                                </w:t>
      </w:r>
      <w:r>
        <w:rPr>
          <w:rFonts w:hint="eastAsia"/>
          <w:sz w:val="24"/>
        </w:rPr>
        <w:t>5</w:t>
      </w:r>
    </w:p>
    <w:p>
      <w:pPr>
        <w:pStyle w:val="13"/>
        <w:adjustRightInd w:val="0"/>
        <w:snapToGrid w:val="0"/>
        <w:spacing w:before="0" w:line="440" w:lineRule="exact"/>
        <w:ind w:firstLine="480" w:firstLineChars="200"/>
        <w:jc w:val="left"/>
        <w:rPr>
          <w:sz w:val="24"/>
          <w:szCs w:val="24"/>
          <w:u w:val="dash"/>
        </w:rPr>
      </w:pPr>
      <w:r>
        <w:rPr>
          <w:rFonts w:hint="eastAsia" w:ascii="Times New Roman" w:eastAsia="宋体"/>
          <w:sz w:val="24"/>
          <w:szCs w:val="24"/>
        </w:rPr>
        <w:t xml:space="preserve">第二部分2021年度部门决算情况说明 </w:t>
      </w:r>
      <w:r>
        <w:rPr>
          <w:rFonts w:hint="eastAsia"/>
          <w:sz w:val="24"/>
          <w:u w:val="dotted"/>
        </w:rPr>
        <w:t xml:space="preserve">                             </w:t>
      </w:r>
      <w:r>
        <w:rPr>
          <w:rFonts w:hint="eastAsia" w:ascii="Times New Roman" w:eastAsia="宋体"/>
          <w:sz w:val="24"/>
          <w:szCs w:val="24"/>
        </w:rPr>
        <w:t>5</w:t>
      </w:r>
    </w:p>
    <w:p>
      <w:pPr>
        <w:pStyle w:val="14"/>
        <w:adjustRightInd w:val="0"/>
        <w:snapToGrid w:val="0"/>
        <w:spacing w:line="440" w:lineRule="exact"/>
        <w:ind w:left="420" w:firstLine="480" w:firstLineChars="200"/>
        <w:jc w:val="left"/>
        <w:rPr>
          <w:rFonts w:ascii="仿宋" w:eastAsia="仿宋" w:cs="Arial"/>
          <w:sz w:val="24"/>
        </w:rPr>
      </w:pPr>
      <w:r>
        <w:rPr>
          <w:rFonts w:hint="eastAsia"/>
          <w:sz w:val="24"/>
        </w:rPr>
        <w:t>一、收入支出决算总体情况说明</w:t>
      </w:r>
      <w:r>
        <w:rPr>
          <w:rFonts w:hint="eastAsia"/>
          <w:sz w:val="24"/>
          <w:u w:val="dotted"/>
        </w:rPr>
        <w:t xml:space="preserve">                                </w:t>
      </w:r>
      <w:r>
        <w:rPr>
          <w:rFonts w:hint="eastAsia"/>
          <w:sz w:val="24"/>
        </w:rPr>
        <w:t>5</w:t>
      </w:r>
    </w:p>
    <w:p>
      <w:pPr>
        <w:pStyle w:val="14"/>
        <w:adjustRightInd w:val="0"/>
        <w:snapToGrid w:val="0"/>
        <w:spacing w:line="440" w:lineRule="exact"/>
        <w:ind w:left="420" w:firstLine="480" w:firstLineChars="200"/>
        <w:jc w:val="left"/>
        <w:rPr>
          <w:rFonts w:ascii="仿宋" w:eastAsia="仿宋" w:cs="Arial"/>
          <w:sz w:val="24"/>
        </w:rPr>
      </w:pPr>
      <w:r>
        <w:rPr>
          <w:rFonts w:hint="eastAsia"/>
          <w:sz w:val="24"/>
        </w:rPr>
        <w:t>二、收入决算情况说明</w:t>
      </w:r>
      <w:r>
        <w:rPr>
          <w:rFonts w:hint="eastAsia"/>
          <w:sz w:val="24"/>
          <w:u w:val="dotted"/>
        </w:rPr>
        <w:t xml:space="preserve">                                        </w:t>
      </w:r>
      <w:r>
        <w:rPr>
          <w:rFonts w:hint="eastAsia"/>
          <w:sz w:val="24"/>
        </w:rPr>
        <w:t>6</w:t>
      </w:r>
    </w:p>
    <w:p>
      <w:pPr>
        <w:pStyle w:val="14"/>
        <w:adjustRightInd w:val="0"/>
        <w:snapToGrid w:val="0"/>
        <w:spacing w:before="93" w:line="440" w:lineRule="exact"/>
        <w:ind w:left="420" w:firstLine="480" w:firstLineChars="200"/>
        <w:jc w:val="left"/>
        <w:rPr>
          <w:rFonts w:ascii="仿宋" w:eastAsia="仿宋" w:cs="Arial"/>
          <w:sz w:val="24"/>
        </w:rPr>
      </w:pPr>
      <w:r>
        <w:rPr>
          <w:rFonts w:hint="eastAsia"/>
          <w:sz w:val="24"/>
        </w:rPr>
        <w:t xml:space="preserve">三、支出决算情况说明 </w:t>
      </w:r>
      <w:r>
        <w:rPr>
          <w:rFonts w:hint="eastAsia"/>
          <w:sz w:val="24"/>
          <w:u w:val="dotted"/>
        </w:rPr>
        <w:t xml:space="preserve">                                       </w:t>
      </w:r>
      <w:r>
        <w:rPr>
          <w:rFonts w:hint="eastAsia"/>
          <w:sz w:val="24"/>
        </w:rPr>
        <w:t>7</w:t>
      </w:r>
    </w:p>
    <w:p>
      <w:pPr>
        <w:pStyle w:val="14"/>
        <w:adjustRightInd w:val="0"/>
        <w:snapToGrid w:val="0"/>
        <w:spacing w:before="93" w:line="440" w:lineRule="exact"/>
        <w:ind w:left="420" w:firstLine="429" w:firstLineChars="179"/>
        <w:jc w:val="left"/>
        <w:rPr>
          <w:rFonts w:ascii="仿宋" w:eastAsia="仿宋" w:cs="Arial"/>
          <w:sz w:val="24"/>
        </w:rPr>
      </w:pPr>
      <w:r>
        <w:rPr>
          <w:rFonts w:hint="eastAsia"/>
          <w:sz w:val="24"/>
        </w:rPr>
        <w:t>四、财政拨款收入支出决算总体情况说明</w:t>
      </w:r>
      <w:r>
        <w:rPr>
          <w:rFonts w:hint="eastAsia"/>
          <w:sz w:val="24"/>
          <w:u w:val="dotted"/>
        </w:rPr>
        <w:t xml:space="preserve">                        </w:t>
      </w:r>
      <w:r>
        <w:rPr>
          <w:rFonts w:hint="eastAsia"/>
          <w:sz w:val="24"/>
        </w:rPr>
        <w:t>7</w:t>
      </w:r>
    </w:p>
    <w:p>
      <w:pPr>
        <w:pStyle w:val="14"/>
        <w:adjustRightInd w:val="0"/>
        <w:snapToGrid w:val="0"/>
        <w:spacing w:before="93" w:line="440" w:lineRule="exact"/>
        <w:ind w:left="420" w:firstLine="429" w:firstLineChars="179"/>
        <w:jc w:val="left"/>
        <w:rPr>
          <w:rFonts w:ascii="仿宋" w:eastAsia="仿宋" w:cs="Arial"/>
          <w:sz w:val="24"/>
        </w:rPr>
      </w:pPr>
      <w:r>
        <w:rPr>
          <w:rFonts w:hint="eastAsia"/>
          <w:sz w:val="24"/>
        </w:rPr>
        <w:t>五、一般公共预算财政拨款支出决算情况说明</w:t>
      </w:r>
      <w:r>
        <w:rPr>
          <w:rFonts w:hint="eastAsia"/>
          <w:sz w:val="24"/>
          <w:u w:val="dotted"/>
        </w:rPr>
        <w:t xml:space="preserve">                    </w:t>
      </w:r>
      <w:r>
        <w:rPr>
          <w:rFonts w:hint="eastAsia"/>
          <w:sz w:val="24"/>
        </w:rPr>
        <w:t>8</w:t>
      </w:r>
    </w:p>
    <w:p>
      <w:pPr>
        <w:pStyle w:val="14"/>
        <w:adjustRightInd w:val="0"/>
        <w:snapToGrid w:val="0"/>
        <w:spacing w:line="440" w:lineRule="exact"/>
        <w:ind w:left="420" w:firstLine="429" w:firstLineChars="179"/>
        <w:jc w:val="left"/>
        <w:rPr>
          <w:rFonts w:ascii="仿宋" w:eastAsia="仿宋" w:cs="Arial"/>
          <w:sz w:val="24"/>
        </w:rPr>
      </w:pPr>
      <w:r>
        <w:rPr>
          <w:rFonts w:hint="eastAsia"/>
          <w:sz w:val="24"/>
        </w:rPr>
        <w:t>六、一般公共预算财政拨款基本支出决算情况说明</w:t>
      </w:r>
      <w:r>
        <w:rPr>
          <w:rFonts w:hint="eastAsia"/>
          <w:sz w:val="24"/>
          <w:u w:val="dotted"/>
        </w:rPr>
        <w:t xml:space="preserve">                </w:t>
      </w:r>
      <w:r>
        <w:rPr>
          <w:rFonts w:hint="eastAsia"/>
          <w:sz w:val="24"/>
        </w:rPr>
        <w:t>11</w:t>
      </w:r>
    </w:p>
    <w:p>
      <w:pPr>
        <w:pStyle w:val="14"/>
        <w:adjustRightInd w:val="0"/>
        <w:snapToGrid w:val="0"/>
        <w:spacing w:line="440" w:lineRule="exact"/>
        <w:ind w:left="420" w:firstLine="429" w:firstLineChars="179"/>
        <w:jc w:val="left"/>
        <w:rPr>
          <w:rFonts w:ascii="仿宋" w:eastAsia="仿宋" w:cs="Arial"/>
          <w:sz w:val="24"/>
        </w:rPr>
      </w:pPr>
      <w:r>
        <w:rPr>
          <w:rFonts w:hint="eastAsia"/>
          <w:sz w:val="24"/>
        </w:rPr>
        <w:t>七、“三公”经费财政拨款支出决算情况说明</w:t>
      </w:r>
      <w:r>
        <w:rPr>
          <w:rFonts w:hint="eastAsia"/>
          <w:sz w:val="24"/>
          <w:u w:val="dotted"/>
        </w:rPr>
        <w:t xml:space="preserve">                    </w:t>
      </w:r>
      <w:r>
        <w:rPr>
          <w:rFonts w:hint="eastAsia"/>
          <w:sz w:val="24"/>
        </w:rPr>
        <w:t>12</w:t>
      </w:r>
    </w:p>
    <w:p>
      <w:pPr>
        <w:pStyle w:val="14"/>
        <w:adjustRightInd w:val="0"/>
        <w:snapToGrid w:val="0"/>
        <w:spacing w:line="440" w:lineRule="exact"/>
        <w:ind w:left="420" w:firstLine="429" w:firstLineChars="179"/>
        <w:jc w:val="left"/>
        <w:rPr>
          <w:rFonts w:ascii="仿宋" w:eastAsia="仿宋" w:cs="Arial"/>
          <w:sz w:val="24"/>
        </w:rPr>
      </w:pPr>
      <w:r>
        <w:rPr>
          <w:rFonts w:hint="eastAsia"/>
          <w:sz w:val="24"/>
        </w:rPr>
        <w:t>八、政府性基金预算支出决算情况说明</w:t>
      </w:r>
      <w:r>
        <w:rPr>
          <w:rFonts w:hint="eastAsia"/>
          <w:sz w:val="24"/>
          <w:u w:val="dotted"/>
        </w:rPr>
        <w:t xml:space="preserve">                          </w:t>
      </w:r>
      <w:r>
        <w:rPr>
          <w:rFonts w:hint="eastAsia"/>
          <w:sz w:val="24"/>
        </w:rPr>
        <w:t>14</w:t>
      </w:r>
    </w:p>
    <w:p>
      <w:pPr>
        <w:pStyle w:val="14"/>
        <w:adjustRightInd w:val="0"/>
        <w:snapToGrid w:val="0"/>
        <w:spacing w:line="440" w:lineRule="exact"/>
        <w:ind w:left="0" w:leftChars="0" w:firstLine="480" w:firstLineChars="200"/>
        <w:jc w:val="left"/>
        <w:rPr>
          <w:rFonts w:ascii="宋体" w:cs="宋体"/>
          <w:sz w:val="24"/>
        </w:rPr>
      </w:pPr>
      <w:r>
        <w:rPr>
          <w:rFonts w:hint="eastAsia"/>
          <w:sz w:val="24"/>
        </w:rPr>
        <w:t>九、国有资本经营预算支出决算情况说明</w:t>
      </w:r>
      <w:r>
        <w:rPr>
          <w:rFonts w:hint="eastAsia"/>
          <w:sz w:val="24"/>
          <w:u w:val="dotted"/>
        </w:rPr>
        <w:t xml:space="preserve">                           </w:t>
      </w:r>
      <w:r>
        <w:rPr>
          <w:rFonts w:hint="eastAsia"/>
          <w:sz w:val="24"/>
        </w:rPr>
        <w:t>14</w:t>
      </w:r>
    </w:p>
    <w:p>
      <w:pPr>
        <w:tabs>
          <w:tab w:val="right" w:leader="dot" w:pos="8296"/>
        </w:tabs>
        <w:adjustRightInd w:val="0"/>
        <w:snapToGrid w:val="0"/>
        <w:spacing w:line="440" w:lineRule="exact"/>
        <w:ind w:firstLine="480" w:firstLineChars="200"/>
        <w:jc w:val="left"/>
        <w:rPr>
          <w:rFonts w:ascii="宋体" w:cs="宋体"/>
          <w:sz w:val="24"/>
        </w:rPr>
      </w:pPr>
      <w:r>
        <w:rPr>
          <w:rStyle w:val="20"/>
          <w:rFonts w:hint="eastAsia" w:ascii="宋体" w:cs="宋体"/>
          <w:color w:val="auto"/>
          <w:sz w:val="24"/>
          <w:u w:val="none"/>
        </w:rPr>
        <w:t>十、</w:t>
      </w:r>
      <w:r>
        <w:rPr>
          <w:rFonts w:hint="eastAsia" w:ascii="宋体" w:cs="宋体"/>
          <w:sz w:val="24"/>
        </w:rPr>
        <w:t>其他重要事项的情况说明</w:t>
      </w:r>
      <w:r>
        <w:rPr>
          <w:rFonts w:hint="eastAsia" w:ascii="宋体" w:cs="宋体"/>
          <w:sz w:val="24"/>
          <w:u w:val="dotted"/>
        </w:rPr>
        <w:tab/>
      </w:r>
      <w:r>
        <w:rPr>
          <w:rFonts w:hint="eastAsia" w:ascii="宋体" w:cs="宋体"/>
          <w:sz w:val="24"/>
          <w:u w:val="dotted"/>
        </w:rPr>
        <w:t xml:space="preserve">         </w:t>
      </w:r>
      <w:r>
        <w:rPr>
          <w:rFonts w:hint="eastAsia"/>
          <w:sz w:val="24"/>
          <w:u w:val="dotted"/>
        </w:rPr>
        <w:t xml:space="preserve">                          </w:t>
      </w:r>
      <w:r>
        <w:rPr>
          <w:rFonts w:hint="eastAsia"/>
          <w:sz w:val="24"/>
        </w:rPr>
        <w:t>14</w:t>
      </w:r>
    </w:p>
    <w:p>
      <w:pPr>
        <w:adjustRightInd w:val="0"/>
        <w:snapToGrid w:val="0"/>
        <w:spacing w:line="440" w:lineRule="exact"/>
        <w:ind w:right="-197" w:rightChars="-94" w:firstLine="480" w:firstLineChars="200"/>
        <w:jc w:val="left"/>
        <w:rPr>
          <w:sz w:val="24"/>
        </w:rPr>
      </w:pPr>
      <w:r>
        <w:rPr>
          <w:rFonts w:hint="eastAsia"/>
          <w:sz w:val="24"/>
        </w:rPr>
        <w:t xml:space="preserve">第三部分名词解释 </w:t>
      </w:r>
      <w:r>
        <w:rPr>
          <w:rFonts w:hint="eastAsia"/>
          <w:sz w:val="24"/>
          <w:u w:val="dotted"/>
        </w:rPr>
        <w:t xml:space="preserve">                                              </w:t>
      </w:r>
      <w:r>
        <w:rPr>
          <w:rFonts w:hint="eastAsia"/>
          <w:sz w:val="24"/>
        </w:rPr>
        <w:t>16</w:t>
      </w:r>
    </w:p>
    <w:p>
      <w:pPr>
        <w:pStyle w:val="13"/>
        <w:adjustRightInd w:val="0"/>
        <w:snapToGrid w:val="0"/>
        <w:spacing w:before="0" w:line="440" w:lineRule="exact"/>
        <w:ind w:right="-197" w:rightChars="-94" w:firstLine="480" w:firstLineChars="200"/>
        <w:jc w:val="left"/>
        <w:rPr>
          <w:rFonts w:ascii="Times New Roman" w:eastAsia="宋体"/>
          <w:sz w:val="24"/>
          <w:szCs w:val="24"/>
        </w:rPr>
      </w:pPr>
      <w:r>
        <w:rPr>
          <w:rFonts w:hint="eastAsia" w:ascii="Times New Roman" w:eastAsia="宋体"/>
          <w:sz w:val="24"/>
          <w:szCs w:val="24"/>
        </w:rPr>
        <w:t>第四部分附件</w:t>
      </w:r>
      <w:r>
        <w:rPr>
          <w:rFonts w:hint="eastAsia" w:ascii="Times New Roman" w:eastAsia="宋体"/>
          <w:sz w:val="24"/>
          <w:szCs w:val="24"/>
          <w:u w:val="dotted"/>
        </w:rPr>
        <w:t xml:space="preserve">                                                   </w:t>
      </w:r>
      <w:r>
        <w:rPr>
          <w:rFonts w:hint="eastAsia" w:ascii="Times New Roman" w:eastAsia="宋体"/>
          <w:sz w:val="24"/>
          <w:szCs w:val="24"/>
        </w:rPr>
        <w:t>19</w:t>
      </w:r>
    </w:p>
    <w:p>
      <w:pPr>
        <w:pStyle w:val="13"/>
        <w:adjustRightInd w:val="0"/>
        <w:snapToGrid w:val="0"/>
        <w:spacing w:before="0" w:line="440" w:lineRule="exact"/>
        <w:ind w:right="-197" w:rightChars="-94" w:firstLine="480" w:firstLineChars="200"/>
        <w:jc w:val="left"/>
        <w:rPr>
          <w:sz w:val="32"/>
          <w:szCs w:val="32"/>
        </w:rPr>
      </w:pPr>
      <w:r>
        <w:rPr>
          <w:rFonts w:hint="eastAsia" w:ascii="Times New Roman" w:eastAsia="宋体"/>
          <w:sz w:val="24"/>
          <w:szCs w:val="24"/>
        </w:rPr>
        <w:t>第五部分附表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仿宋" w:eastAsia="仿宋" w:cs="Arial"/>
          <w:sz w:val="24"/>
        </w:rPr>
      </w:pPr>
      <w:r>
        <w:rPr>
          <w:rFonts w:hint="eastAsia" w:ascii="仿宋" w:eastAsia="仿宋"/>
          <w:sz w:val="24"/>
        </w:rPr>
        <w:t>一、</w:t>
      </w:r>
      <w:r>
        <w:rPr>
          <w:rFonts w:hint="eastAsia"/>
          <w:sz w:val="24"/>
        </w:rPr>
        <w:t>收入支出决算总表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二、收入决算表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三、支出决算表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四、财政拨款收入支出决算总表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五、财政拨款支出决算明细表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六、一般公共预算财政拨款支出决算表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七、一般公共预算财政拨款支出决算明细表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八、一般公共预算财政拨款基本支出决算表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九、一般公共预算财政拨款项目支出决算表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十、一般公共预算财政拨款“三公”经费支出决算表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十一、政府性基金预算财政拨款收入支出决算表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十二、政府性基金预算财政拨款“三公”经费支出决算表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十三、国有资本经营预算财政拨款收入支出决算表</w:t>
      </w:r>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80" w:firstLineChars="200"/>
        <w:jc w:val="left"/>
        <w:rPr>
          <w:rFonts w:ascii="宋体" w:cs="宋体"/>
          <w:sz w:val="24"/>
        </w:rPr>
      </w:pPr>
      <w:r>
        <w:rPr>
          <w:rFonts w:hint="eastAsia" w:ascii="宋体" w:cs="宋体"/>
          <w:sz w:val="24"/>
        </w:rPr>
        <w:t>十四、国有资本经营预算财政拨款支出决算表</w:t>
      </w:r>
      <w:bookmarkStart w:id="15" w:name="_Toc15377196"/>
      <w:bookmarkStart w:id="16" w:name="_Toc15396599"/>
      <w:r>
        <w:rPr>
          <w:rFonts w:hint="eastAsia" w:ascii="宋体" w:cs="宋体"/>
          <w:sz w:val="24"/>
          <w:u w:val="dotted"/>
        </w:rPr>
        <w:t xml:space="preserve">     </w:t>
      </w:r>
      <w:r>
        <w:rPr>
          <w:rFonts w:hint="eastAsia"/>
          <w:sz w:val="24"/>
          <w:u w:val="dotted"/>
        </w:rPr>
        <w:t xml:space="preserve">             </w:t>
      </w:r>
      <w:r>
        <w:rPr>
          <w:rFonts w:hint="eastAsia"/>
          <w:sz w:val="24"/>
        </w:rPr>
        <w:t>88</w:t>
      </w:r>
    </w:p>
    <w:p>
      <w:pPr>
        <w:pStyle w:val="14"/>
        <w:adjustRightInd w:val="0"/>
        <w:snapToGrid w:val="0"/>
        <w:spacing w:line="440" w:lineRule="exact"/>
        <w:ind w:left="420" w:firstLine="421" w:firstLineChars="200"/>
        <w:jc w:val="left"/>
        <w:rPr>
          <w:rStyle w:val="20"/>
          <w:rFonts w:ascii="楷体_GB2312" w:eastAsia="楷体_GB2312"/>
          <w:b/>
          <w:bCs/>
        </w:rPr>
      </w:pPr>
    </w:p>
    <w:p>
      <w:pPr>
        <w:sectPr>
          <w:footerReference r:id="rId4" w:type="first"/>
          <w:footerReference r:id="rId3" w:type="default"/>
          <w:pgSz w:w="11906" w:h="16838"/>
          <w:pgMar w:top="1440" w:right="1800" w:bottom="1440" w:left="1800" w:header="851" w:footer="992" w:gutter="0"/>
          <w:pgNumType w:fmt="numberInDash" w:start="1"/>
          <w:cols w:space="425" w:num="1"/>
          <w:docGrid w:type="lines" w:linePitch="312" w:charSpace="0"/>
        </w:sectPr>
      </w:pPr>
    </w:p>
    <w:p>
      <w:pPr>
        <w:widowControl/>
        <w:spacing w:line="440" w:lineRule="exact"/>
        <w:jc w:val="left"/>
        <w:rPr>
          <w:rFonts w:ascii="仿宋" w:eastAsia="仿宋"/>
          <w:bCs/>
          <w:kern w:val="44"/>
          <w:sz w:val="24"/>
        </w:rPr>
        <w:sectPr>
          <w:pgSz w:w="11906" w:h="16838"/>
          <w:pgMar w:top="1440" w:right="1800" w:bottom="1440" w:left="1800" w:header="851" w:footer="992" w:gutter="0"/>
          <w:pgNumType w:fmt="numberInDash" w:start="1"/>
          <w:cols w:space="425" w:num="1"/>
          <w:titlePg/>
          <w:docGrid w:type="lines" w:linePitch="312" w:charSpace="0"/>
        </w:sectPr>
      </w:pPr>
    </w:p>
    <w:p>
      <w:pPr>
        <w:widowControl/>
        <w:spacing w:line="440" w:lineRule="exact"/>
        <w:jc w:val="left"/>
        <w:rPr>
          <w:rFonts w:ascii="仿宋" w:eastAsia="仿宋"/>
          <w:bCs/>
          <w:kern w:val="44"/>
          <w:sz w:val="24"/>
        </w:rPr>
      </w:pPr>
    </w:p>
    <w:p>
      <w:pPr>
        <w:pStyle w:val="2"/>
        <w:ind w:firstLine="880" w:firstLineChars="200"/>
        <w:jc w:val="center"/>
        <w:rPr>
          <w:rStyle w:val="21"/>
          <w:rFonts w:ascii="黑体" w:eastAsia="黑体"/>
          <w:b/>
          <w:bCs w:val="0"/>
        </w:rPr>
      </w:pPr>
      <w:r>
        <w:rPr>
          <w:rFonts w:hint="eastAsia" w:ascii="黑体" w:eastAsia="黑体"/>
          <w:b w:val="0"/>
        </w:rPr>
        <w:t>第一部分</w:t>
      </w:r>
      <w:r>
        <w:rPr>
          <w:rStyle w:val="21"/>
          <w:rFonts w:hint="eastAsia" w:ascii="黑体" w:eastAsia="黑体"/>
          <w:b w:val="0"/>
          <w:bCs w:val="0"/>
        </w:rPr>
        <w:t>部门概况</w:t>
      </w:r>
      <w:bookmarkEnd w:id="15"/>
      <w:bookmarkEnd w:id="16"/>
    </w:p>
    <w:p>
      <w:pPr>
        <w:widowControl/>
        <w:jc w:val="left"/>
        <w:rPr>
          <w:rFonts w:ascii="黑体" w:eastAsia="黑体"/>
          <w:sz w:val="32"/>
          <w:szCs w:val="32"/>
        </w:rPr>
      </w:pPr>
    </w:p>
    <w:p>
      <w:pPr>
        <w:pStyle w:val="3"/>
        <w:spacing w:before="93"/>
        <w:ind w:firstLine="640" w:firstLineChars="200"/>
        <w:rPr>
          <w:rStyle w:val="23"/>
          <w:rFonts w:ascii="黑体" w:hAnsi="黑体" w:eastAsia="黑体"/>
          <w:b w:val="0"/>
          <w:bCs w:val="0"/>
        </w:rPr>
      </w:pPr>
      <w:bookmarkStart w:id="17" w:name="_Toc15396600"/>
      <w:bookmarkStart w:id="18" w:name="_Toc15377197"/>
      <w:r>
        <w:rPr>
          <w:rFonts w:hint="eastAsia" w:ascii="黑体" w:hAnsi="黑体" w:eastAsia="黑体"/>
          <w:b w:val="0"/>
        </w:rPr>
        <w:t>一、基</w:t>
      </w:r>
      <w:r>
        <w:rPr>
          <w:rStyle w:val="23"/>
          <w:rFonts w:hint="eastAsia" w:ascii="黑体" w:hAnsi="黑体" w:eastAsia="黑体"/>
          <w:b w:val="0"/>
          <w:bCs w:val="0"/>
        </w:rPr>
        <w:t>本职能及主要工作</w:t>
      </w:r>
      <w:bookmarkEnd w:id="17"/>
      <w:bookmarkEnd w:id="18"/>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19" w:name="_Toc15378445"/>
      <w:bookmarkStart w:id="20" w:name="_Toc15377198"/>
      <w:r>
        <w:rPr>
          <w:rFonts w:hint="eastAsia" w:ascii="楷体_GB2312" w:eastAsia="楷体_GB2312"/>
          <w:b/>
          <w:bCs/>
          <w:sz w:val="32"/>
          <w:szCs w:val="32"/>
        </w:rPr>
        <w:t>（一）主要职能。</w:t>
      </w:r>
    </w:p>
    <w:bookmarkEnd w:id="19"/>
    <w:bookmarkEnd w:id="20"/>
    <w:p>
      <w:pPr>
        <w:widowControl/>
        <w:spacing w:line="520" w:lineRule="exact"/>
        <w:ind w:firstLine="640" w:firstLineChars="200"/>
        <w:jc w:val="left"/>
        <w:rPr>
          <w:rFonts w:ascii="仿宋_GB2312" w:hAnsi="仿宋" w:eastAsia="仿宋_GB2312" w:cs="华文仿宋"/>
          <w:bCs/>
          <w:kern w:val="0"/>
          <w:sz w:val="32"/>
          <w:szCs w:val="32"/>
        </w:rPr>
      </w:pPr>
      <w:bookmarkStart w:id="21" w:name="_Toc15377199"/>
      <w:bookmarkStart w:id="22" w:name="_Toc15378446"/>
      <w:r>
        <w:rPr>
          <w:rFonts w:hint="eastAsia" w:ascii="仿宋_GB2312" w:hAnsi="仿宋" w:eastAsia="仿宋_GB2312" w:cs="华文仿宋"/>
          <w:bCs/>
          <w:kern w:val="0"/>
          <w:sz w:val="32"/>
          <w:szCs w:val="32"/>
        </w:rPr>
        <w:t>1.坚持正确的政治方向</w:t>
      </w:r>
      <w:r>
        <w:rPr>
          <w:rFonts w:hint="eastAsia" w:ascii="仿宋" w:hAnsi="仿宋" w:eastAsia="仿宋" w:cs="华文仿宋"/>
          <w:bCs/>
          <w:kern w:val="0"/>
          <w:sz w:val="32"/>
          <w:szCs w:val="32"/>
        </w:rPr>
        <w:t>，</w:t>
      </w:r>
      <w:r>
        <w:rPr>
          <w:rFonts w:hint="eastAsia" w:ascii="仿宋_GB2312" w:hAnsi="仿宋" w:eastAsia="仿宋_GB2312" w:cs="华文仿宋"/>
          <w:bCs/>
          <w:kern w:val="0"/>
          <w:sz w:val="32"/>
          <w:szCs w:val="32"/>
        </w:rPr>
        <w:t>团结、教育全州各族各界妇女在思想上、行动上同党中央保持高度一致。</w:t>
      </w:r>
    </w:p>
    <w:p>
      <w:pPr>
        <w:widowControl/>
        <w:spacing w:line="520" w:lineRule="exact"/>
        <w:ind w:firstLine="640" w:firstLineChars="200"/>
        <w:jc w:val="left"/>
        <w:rPr>
          <w:rFonts w:ascii="仿宋_GB2312" w:hAnsi="仿宋" w:eastAsia="仿宋_GB2312" w:cs="华文仿宋"/>
          <w:bCs/>
          <w:kern w:val="0"/>
          <w:sz w:val="32"/>
          <w:szCs w:val="32"/>
        </w:rPr>
      </w:pPr>
      <w:r>
        <w:rPr>
          <w:rFonts w:hint="eastAsia" w:ascii="仿宋_GB2312" w:hAnsi="仿宋" w:eastAsia="仿宋_GB2312" w:cs="华文仿宋"/>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pPr>
        <w:widowControl/>
        <w:spacing w:line="520" w:lineRule="exact"/>
        <w:ind w:firstLine="640" w:firstLineChars="200"/>
        <w:jc w:val="left"/>
        <w:rPr>
          <w:rFonts w:ascii="仿宋_GB2312" w:hAnsi="仿宋" w:eastAsia="仿宋_GB2312" w:cs="华文仿宋"/>
          <w:bCs/>
          <w:kern w:val="0"/>
          <w:sz w:val="32"/>
          <w:szCs w:val="32"/>
        </w:rPr>
      </w:pPr>
      <w:r>
        <w:rPr>
          <w:rFonts w:hint="eastAsia" w:ascii="仿宋_GB2312" w:hAnsi="仿宋" w:eastAsia="仿宋_GB2312" w:cs="华文仿宋"/>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pPr>
        <w:widowControl/>
        <w:spacing w:line="520" w:lineRule="exact"/>
        <w:ind w:firstLine="640" w:firstLineChars="200"/>
        <w:jc w:val="left"/>
        <w:rPr>
          <w:rFonts w:ascii="仿宋_GB2312" w:hAnsi="仿宋" w:eastAsia="仿宋_GB2312" w:cs="华文仿宋"/>
          <w:bCs/>
          <w:kern w:val="0"/>
          <w:sz w:val="32"/>
          <w:szCs w:val="32"/>
        </w:rPr>
      </w:pPr>
      <w:r>
        <w:rPr>
          <w:rFonts w:hint="eastAsia" w:ascii="仿宋_GB2312" w:hAnsi="仿宋" w:eastAsia="仿宋_GB2312" w:cs="华文仿宋"/>
          <w:bCs/>
          <w:kern w:val="0"/>
          <w:sz w:val="32"/>
          <w:szCs w:val="32"/>
        </w:rPr>
        <w:t>4.坚持为妇女儿童服务、为基层服务，加强与社会各界的联系，协调推动全社会为妇女儿童办实事，办好事。</w:t>
      </w:r>
    </w:p>
    <w:p>
      <w:pPr>
        <w:widowControl/>
        <w:spacing w:line="520" w:lineRule="exact"/>
        <w:ind w:firstLine="640" w:firstLineChars="200"/>
        <w:jc w:val="left"/>
        <w:rPr>
          <w:rFonts w:ascii="仿宋_GB2312" w:hAnsi="仿宋" w:eastAsia="仿宋_GB2312" w:cs="华文仿宋"/>
          <w:bCs/>
          <w:kern w:val="0"/>
          <w:sz w:val="32"/>
          <w:szCs w:val="32"/>
        </w:rPr>
      </w:pPr>
      <w:r>
        <w:rPr>
          <w:rFonts w:hint="eastAsia" w:ascii="仿宋_GB2312" w:hAnsi="仿宋" w:eastAsia="仿宋_GB2312" w:cs="华文仿宋"/>
          <w:bCs/>
          <w:kern w:val="0"/>
          <w:sz w:val="32"/>
          <w:szCs w:val="32"/>
        </w:rPr>
        <w:t>5.指导县妇联依据《中华全国妇女联合会章程》和州妇女代表大会的任务，开展妇女儿童工作；联系团体会员并给予工作指导；巩固和扩大各族各界妇女的大团结，促进我州民族团结，社会稳定。</w:t>
      </w:r>
    </w:p>
    <w:p>
      <w:pPr>
        <w:pStyle w:val="5"/>
        <w:adjustRightInd w:val="0"/>
        <w:snapToGrid w:val="0"/>
        <w:spacing w:beforeLines="0" w:line="600" w:lineRule="exact"/>
        <w:ind w:firstLine="640" w:firstLineChars="200"/>
        <w:outlineLvl w:val="2"/>
        <w:rPr>
          <w:rFonts w:hAnsi="宋体" w:cs="宋体"/>
          <w:color w:val="333333"/>
          <w:sz w:val="32"/>
          <w:szCs w:val="32"/>
        </w:rPr>
      </w:pPr>
      <w:r>
        <w:rPr>
          <w:rFonts w:hint="eastAsia" w:hAnsi="仿宋" w:cs="华文仿宋"/>
          <w:bCs/>
          <w:sz w:val="32"/>
          <w:szCs w:val="32"/>
        </w:rPr>
        <w:t>6.承办州政府妇女儿童工作委员会办公室的工作。</w:t>
      </w:r>
    </w:p>
    <w:p>
      <w:pPr>
        <w:pStyle w:val="5"/>
        <w:adjustRightInd w:val="0"/>
        <w:snapToGrid w:val="0"/>
        <w:spacing w:beforeLines="0" w:line="600" w:lineRule="exact"/>
        <w:ind w:firstLine="642" w:firstLineChars="200"/>
        <w:outlineLvl w:val="2"/>
        <w:rPr>
          <w:rFonts w:ascii="楷体_GB2312" w:eastAsia="楷体_GB2312"/>
          <w:b/>
          <w:bCs/>
          <w:sz w:val="32"/>
          <w:szCs w:val="32"/>
        </w:rPr>
      </w:pPr>
      <w:r>
        <w:rPr>
          <w:rFonts w:hint="eastAsia" w:ascii="楷体_GB2312" w:eastAsia="楷体_GB2312"/>
          <w:b/>
          <w:bCs/>
          <w:sz w:val="32"/>
          <w:szCs w:val="32"/>
        </w:rPr>
        <w:t>（二）2021年重点工作完成情况。</w:t>
      </w:r>
      <w:bookmarkEnd w:id="21"/>
      <w:bookmarkEnd w:id="22"/>
    </w:p>
    <w:p>
      <w:pPr>
        <w:spacing w:line="580" w:lineRule="exact"/>
        <w:ind w:firstLine="642" w:firstLineChars="200"/>
        <w:rPr>
          <w:rFonts w:eastAsia="仿宋_GB2312"/>
          <w:sz w:val="32"/>
          <w:szCs w:val="32"/>
        </w:rPr>
      </w:pPr>
      <w:r>
        <w:rPr>
          <w:rFonts w:hint="eastAsia" w:ascii="仿宋_GB2312" w:eastAsia="仿宋_GB2312"/>
          <w:b/>
          <w:bCs/>
          <w:sz w:val="32"/>
          <w:szCs w:val="32"/>
        </w:rPr>
        <w:t>1.</w:t>
      </w:r>
      <w:r>
        <w:rPr>
          <w:rFonts w:ascii="仿宋_GB2312" w:eastAsia="仿宋_GB2312"/>
          <w:b/>
          <w:bCs/>
          <w:sz w:val="32"/>
          <w:szCs w:val="32"/>
        </w:rPr>
        <w:t>着力助推乡村振兴</w:t>
      </w:r>
      <w:r>
        <w:rPr>
          <w:rFonts w:hint="eastAsia" w:ascii="仿宋_GB2312" w:eastAsia="仿宋_GB2312"/>
          <w:b/>
          <w:bCs/>
          <w:sz w:val="32"/>
          <w:szCs w:val="32"/>
        </w:rPr>
        <w:t>。</w:t>
      </w:r>
      <w:r>
        <w:rPr>
          <w:rFonts w:eastAsia="仿宋_GB2312"/>
          <w:sz w:val="32"/>
          <w:szCs w:val="32"/>
        </w:rPr>
        <w:t>推“乡村振兴巾帼行动”、“创业创新巾帼行动”等品牌工程，开展“春风行动”，参与招聘47次，免费服务5000余人次，达成就业意向1156人，签订用工合同642人。参加“中国农民丰收节”等展示展销活动，直播带货98场次，销价值1140万元产品；办技能提升培训51期，培训妇女2088人；组织女匠人参加黄河流域生态保护和高质量发展巾帼论坛和消费扶贫活动；评选扶持州级“妇”字号项目基地10个，争取全国巾帼示范基地1个，累计带动妇女3.62万名实现年人均增收5000-8000元；做好全州各级各类妇女居家灵活就业基地督导调研工作；做好各项目归档工作。评选“首届阿坝州最美十佳民宿女主人”10名；争取东西协作援建资金102.8万，用于县级妇女儿童活动中心建设等工作。</w:t>
      </w:r>
    </w:p>
    <w:p>
      <w:pPr>
        <w:spacing w:line="580" w:lineRule="exact"/>
        <w:ind w:firstLine="706" w:firstLineChars="220"/>
        <w:jc w:val="left"/>
        <w:rPr>
          <w:rFonts w:eastAsia="仿宋_GB2312"/>
          <w:sz w:val="32"/>
          <w:szCs w:val="32"/>
        </w:rPr>
      </w:pPr>
      <w:r>
        <w:rPr>
          <w:rFonts w:hint="eastAsia" w:ascii="仿宋_GB2312" w:eastAsia="仿宋_GB2312"/>
          <w:b/>
          <w:bCs/>
          <w:sz w:val="32"/>
          <w:szCs w:val="32"/>
        </w:rPr>
        <w:t>2.力推特殊妇儿关爱。</w:t>
      </w:r>
      <w:r>
        <w:rPr>
          <w:rFonts w:eastAsia="仿宋_GB2312"/>
          <w:sz w:val="32"/>
          <w:szCs w:val="32"/>
        </w:rPr>
        <w:t>立足妇联组织“联”的优势，全州开展“净土春晖1+4”系列纪念、“暖冬慰问”等活动，慰问1500余人，助困资金共123.9万余元。开展“两联一进”工作8次，宣讲5次，为特殊困境人群发慰问金(品）5.6万余元；争取160万元，联合成都阿坝商会办“同心促发展</w:t>
      </w:r>
      <w:r>
        <w:rPr>
          <w:rFonts w:eastAsia="仿宋_GB2312"/>
          <w:bCs/>
          <w:sz w:val="32"/>
          <w:szCs w:val="32"/>
        </w:rPr>
        <w:t>·</w:t>
      </w:r>
      <w:r>
        <w:rPr>
          <w:rFonts w:eastAsia="仿宋_GB2312"/>
          <w:sz w:val="32"/>
          <w:szCs w:val="32"/>
        </w:rPr>
        <w:t>光彩阿坝行——净土春晖关爱阿坝州妇女儿童”活动；争取229万余元开展“生命早期1000天营养补充计划”等活动，关爱1.32万儿童和孕产妇；争取40万元建20个儿童之家示范点；与中粮信托发起“情系红原”暖冬行动，看望单亲困境母亲，开展高原牧区助学活动，发放慰问金、助学金及各类学习、生活用品折合13万元；争取中国儿基会25万元爱心资金在红原县麦洼小学开展“艾多美慈善教育项目”争取；争取中国妇基会支持在若尔盖县开展“白求恩.健康家庭促进行动”和茂县、黑水县、理县开展“女生不简单”青春期健康教育校园公益项目，发放爱心包2500个；采用社会化服务方式，对特殊困境儿童提供长期的情感陪伴和心理疏导服务。</w:t>
      </w:r>
    </w:p>
    <w:p>
      <w:pPr>
        <w:spacing w:line="580" w:lineRule="exact"/>
        <w:ind w:firstLine="706" w:firstLineChars="220"/>
        <w:jc w:val="left"/>
        <w:rPr>
          <w:rFonts w:eastAsia="仿宋_GB2312"/>
          <w:b/>
          <w:sz w:val="32"/>
          <w:szCs w:val="32"/>
        </w:rPr>
      </w:pPr>
      <w:r>
        <w:rPr>
          <w:rFonts w:hint="eastAsia" w:ascii="仿宋_GB2312" w:eastAsia="仿宋_GB2312"/>
          <w:b/>
          <w:bCs/>
          <w:sz w:val="32"/>
          <w:szCs w:val="32"/>
        </w:rPr>
        <w:t>3</w:t>
      </w:r>
      <w:r>
        <w:rPr>
          <w:rFonts w:ascii="仿宋_GB2312" w:eastAsia="仿宋_GB2312"/>
          <w:b/>
          <w:bCs/>
          <w:sz w:val="32"/>
          <w:szCs w:val="32"/>
        </w:rPr>
        <w:t>.力推妇儿健康关爱。</w:t>
      </w:r>
      <w:r>
        <w:rPr>
          <w:rFonts w:eastAsia="仿宋_GB2312"/>
          <w:sz w:val="32"/>
          <w:szCs w:val="32"/>
        </w:rPr>
        <w:t>开展“净土春晖——关爱高原母亲巡诊义诊活动”，为草地四县2815名妇女儿童义诊巡诊，发价值近13万元的药品，免费检查费63.33万元；为全州33名村（社区）患大病妇女发放救助金9.9万元，争取全国妇联低收入妇女“两癌”救助金19万，救助我州“两癌”患病妇女19人。</w:t>
      </w:r>
    </w:p>
    <w:p>
      <w:pPr>
        <w:spacing w:line="580" w:lineRule="exact"/>
        <w:ind w:firstLine="706" w:firstLineChars="220"/>
        <w:rPr>
          <w:rFonts w:eastAsia="仿宋_GB2312"/>
          <w:sz w:val="32"/>
          <w:szCs w:val="32"/>
        </w:rPr>
      </w:pPr>
      <w:r>
        <w:rPr>
          <w:rFonts w:hint="eastAsia" w:ascii="仿宋_GB2312" w:eastAsia="仿宋_GB2312"/>
          <w:b/>
          <w:bCs/>
          <w:sz w:val="32"/>
          <w:szCs w:val="32"/>
        </w:rPr>
        <w:t>4.力推妇儿权益维护。</w:t>
      </w:r>
      <w:r>
        <w:rPr>
          <w:rFonts w:eastAsia="仿宋_GB2312"/>
          <w:b/>
          <w:bCs/>
          <w:sz w:val="32"/>
          <w:szCs w:val="32"/>
        </w:rPr>
        <w:t>一是</w:t>
      </w:r>
      <w:r>
        <w:rPr>
          <w:rFonts w:eastAsia="仿宋_GB2312"/>
          <w:sz w:val="32"/>
          <w:szCs w:val="32"/>
        </w:rPr>
        <w:t>开展“法制阿坝行·平安幸福进万家”“净土春晖”法制宣讲——《民法典》专题讲座七进等活动367场，覆盖10万余人次。播放法制短片《宗巴雅姆》，点击率达2000余人次。</w:t>
      </w:r>
      <w:r>
        <w:rPr>
          <w:rFonts w:eastAsia="仿宋_GB2312"/>
          <w:b/>
          <w:bCs/>
          <w:sz w:val="32"/>
          <w:szCs w:val="32"/>
        </w:rPr>
        <w:t>二是</w:t>
      </w:r>
      <w:r>
        <w:rPr>
          <w:rFonts w:eastAsia="仿宋_GB2312"/>
          <w:sz w:val="32"/>
          <w:szCs w:val="32"/>
        </w:rPr>
        <w:t>发《关于建立进一步落实好预防性侵未成年人、维护女童人身权益“五项机制”的通知》，拟《阿坝州维护妇女儿童权益联席会议制度》、形成《反家暴法视域下涉藏地区妇女权益研究》调研报告；联合政法等部门出台《阿坝州反家庭暴力八项措施》等妇儿维权制度措施3个。</w:t>
      </w:r>
      <w:r>
        <w:rPr>
          <w:rFonts w:eastAsia="仿宋_GB2312"/>
          <w:b/>
          <w:bCs/>
          <w:sz w:val="32"/>
          <w:szCs w:val="32"/>
        </w:rPr>
        <w:t>三是</w:t>
      </w:r>
      <w:r>
        <w:rPr>
          <w:rFonts w:eastAsia="仿宋_GB2312"/>
          <w:sz w:val="32"/>
          <w:szCs w:val="32"/>
        </w:rPr>
        <w:t>建《阿坝州妇联系统重点人群排查台账》，做好12338维权热线值守督查。</w:t>
      </w:r>
    </w:p>
    <w:p>
      <w:pPr>
        <w:spacing w:line="580" w:lineRule="exact"/>
        <w:ind w:firstLine="706" w:firstLineChars="220"/>
        <w:rPr>
          <w:rFonts w:eastAsia="仿宋_GB2312"/>
          <w:sz w:val="32"/>
          <w:szCs w:val="32"/>
        </w:rPr>
      </w:pPr>
      <w:r>
        <w:rPr>
          <w:rFonts w:hint="eastAsia" w:ascii="仿宋_GB2312" w:eastAsia="仿宋_GB2312"/>
          <w:b/>
          <w:bCs/>
          <w:sz w:val="32"/>
          <w:szCs w:val="32"/>
        </w:rPr>
        <w:t>5</w:t>
      </w:r>
      <w:r>
        <w:rPr>
          <w:rFonts w:ascii="仿宋_GB2312" w:eastAsia="仿宋_GB2312"/>
          <w:b/>
          <w:bCs/>
          <w:sz w:val="32"/>
          <w:szCs w:val="32"/>
        </w:rPr>
        <w:t>.力推家教指导服务。</w:t>
      </w:r>
      <w:r>
        <w:rPr>
          <w:rFonts w:eastAsia="仿宋_GB2312"/>
          <w:b/>
          <w:bCs/>
          <w:sz w:val="32"/>
          <w:szCs w:val="32"/>
        </w:rPr>
        <w:t>一是</w:t>
      </w:r>
      <w:r>
        <w:rPr>
          <w:rFonts w:eastAsia="仿宋_GB2312"/>
          <w:sz w:val="32"/>
          <w:szCs w:val="32"/>
        </w:rPr>
        <w:t>办“净土春晖—黑籽儿科学家教感恩回馈”巡讲18场，辐射5280余名家长。联合友邦社工开展“达萨社区家庭教育指导服务”项目。</w:t>
      </w:r>
      <w:r>
        <w:rPr>
          <w:rFonts w:eastAsia="仿宋_GB2312"/>
          <w:b/>
          <w:bCs/>
          <w:sz w:val="32"/>
          <w:szCs w:val="32"/>
        </w:rPr>
        <w:t>二是</w:t>
      </w:r>
      <w:r>
        <w:rPr>
          <w:rFonts w:eastAsia="仿宋_GB2312"/>
          <w:sz w:val="32"/>
          <w:szCs w:val="32"/>
        </w:rPr>
        <w:t>联合州纪委监开展“阳光阿坝·清廉万家”好风传家活动，推</w:t>
      </w:r>
      <w:r>
        <w:rPr>
          <w:rFonts w:eastAsia="仿宋_GB2312"/>
          <w:spacing w:val="6"/>
          <w:sz w:val="32"/>
          <w:szCs w:val="32"/>
          <w:shd w:val="clear" w:color="auto" w:fill="FFFFFF"/>
        </w:rPr>
        <w:t>播</w:t>
      </w:r>
      <w:r>
        <w:rPr>
          <w:rFonts w:eastAsia="仿宋_GB2312"/>
          <w:sz w:val="32"/>
          <w:szCs w:val="32"/>
        </w:rPr>
        <w:t>家风家教系列动漫短片、直播讲座等，覆盖2个家教群、132所家长学校和51123户家庭，点击率1.7万余次。</w:t>
      </w:r>
      <w:r>
        <w:rPr>
          <w:rFonts w:eastAsia="仿宋_GB2312"/>
          <w:b/>
          <w:bCs/>
          <w:spacing w:val="6"/>
          <w:sz w:val="32"/>
          <w:szCs w:val="32"/>
          <w:shd w:val="clear" w:color="auto" w:fill="FFFFFF"/>
        </w:rPr>
        <w:t>三</w:t>
      </w:r>
      <w:r>
        <w:rPr>
          <w:rFonts w:eastAsia="仿宋_GB2312"/>
          <w:b/>
          <w:bCs/>
          <w:sz w:val="32"/>
          <w:szCs w:val="32"/>
        </w:rPr>
        <w:t>是</w:t>
      </w:r>
      <w:r>
        <w:rPr>
          <w:rFonts w:eastAsia="仿宋_GB2312"/>
          <w:sz w:val="32"/>
          <w:szCs w:val="32"/>
        </w:rPr>
        <w:t>开展礼遇“最美家庭”活动5次，推送32户“最美家庭”事迹网上巡讲，阅读量2.88万余人次。</w:t>
      </w:r>
    </w:p>
    <w:p>
      <w:pPr>
        <w:pStyle w:val="16"/>
        <w:spacing w:after="0" w:line="580" w:lineRule="exact"/>
        <w:ind w:left="0" w:leftChars="0" w:firstLine="706" w:firstLineChars="220"/>
        <w:rPr>
          <w:rFonts w:ascii="Times New Roman" w:hAnsi="Times New Roman" w:eastAsia="仿宋_GB2312" w:cs="Times New Roman"/>
          <w:sz w:val="32"/>
          <w:szCs w:val="32"/>
        </w:rPr>
      </w:pPr>
      <w:r>
        <w:rPr>
          <w:rFonts w:hint="eastAsia" w:ascii="仿宋_GB2312" w:hAnsi="Times New Roman" w:eastAsia="仿宋_GB2312" w:cs="Times New Roman"/>
          <w:b/>
          <w:bCs/>
          <w:kern w:val="2"/>
          <w:sz w:val="32"/>
          <w:szCs w:val="32"/>
        </w:rPr>
        <w:t>6.力推妇联改革破难。</w:t>
      </w:r>
      <w:r>
        <w:rPr>
          <w:rFonts w:ascii="Times New Roman" w:hAnsi="Times New Roman" w:eastAsia="仿宋_GB2312" w:cs="Times New Roman"/>
          <w:sz w:val="32"/>
          <w:szCs w:val="32"/>
        </w:rPr>
        <w:t>建专兼挂妇联干部队伍，州、县（市）妇联落实专职主席14名、专职副主席15名、兼职副主席39名，挂职副主席15名，执委43名。</w:t>
      </w:r>
      <w:r>
        <w:rPr>
          <w:rFonts w:ascii="Times New Roman" w:hAnsi="Times New Roman" w:eastAsia="仿宋_GB2312" w:cs="Times New Roman"/>
          <w:bCs/>
          <w:kern w:val="2"/>
          <w:sz w:val="32"/>
          <w:szCs w:val="32"/>
        </w:rPr>
        <w:t>推“基层妇联领头雁培训计划”，</w:t>
      </w:r>
      <w:r>
        <w:rPr>
          <w:rFonts w:ascii="Times New Roman" w:hAnsi="Times New Roman" w:eastAsia="仿宋_GB2312" w:cs="Times New Roman"/>
          <w:sz w:val="32"/>
          <w:szCs w:val="32"/>
        </w:rPr>
        <w:t>选派6名基层妇联主席参加省妇联基层妇联组织成员示范培训；开展村（社区）妇联工作业务、基层治理明白人等妇干培训班等47期，培训人数1235人次。</w:t>
      </w:r>
    </w:p>
    <w:p>
      <w:pPr>
        <w:spacing w:line="580" w:lineRule="exact"/>
        <w:ind w:firstLine="706" w:firstLineChars="220"/>
        <w:rPr>
          <w:rFonts w:eastAsia="仿宋_GB2312"/>
          <w:b/>
          <w:bCs/>
          <w:sz w:val="32"/>
          <w:szCs w:val="32"/>
        </w:rPr>
      </w:pPr>
      <w:r>
        <w:rPr>
          <w:rFonts w:hint="eastAsia" w:ascii="仿宋_GB2312" w:eastAsia="仿宋_GB2312"/>
          <w:b/>
          <w:bCs/>
          <w:sz w:val="32"/>
          <w:szCs w:val="32"/>
        </w:rPr>
        <w:t>7</w:t>
      </w:r>
      <w:r>
        <w:rPr>
          <w:rFonts w:ascii="仿宋_GB2312" w:eastAsia="仿宋_GB2312"/>
          <w:b/>
          <w:bCs/>
          <w:sz w:val="32"/>
          <w:szCs w:val="32"/>
        </w:rPr>
        <w:t>.力推组织覆盖“破难”。</w:t>
      </w:r>
      <w:r>
        <w:rPr>
          <w:rFonts w:eastAsia="仿宋_GB2312"/>
          <w:b/>
          <w:bCs/>
          <w:sz w:val="32"/>
          <w:szCs w:val="32"/>
        </w:rPr>
        <w:t>一是</w:t>
      </w:r>
      <w:r>
        <w:rPr>
          <w:rFonts w:eastAsia="仿宋_GB2312"/>
          <w:sz w:val="32"/>
          <w:szCs w:val="32"/>
        </w:rPr>
        <w:t>完成1154个村（社区）“两委”换届选举，产生妇联主席1154名、副主席962名、执委4945名，村“两委”负责人“一肩挑”女性35名。女性进村（社区）两委和村（社区）妇联主席进两委比率均为100%</w:t>
      </w:r>
      <w:r>
        <w:rPr>
          <w:rFonts w:eastAsia="仿宋_GB2312"/>
          <w:kern w:val="0"/>
          <w:sz w:val="32"/>
          <w:szCs w:val="32"/>
        </w:rPr>
        <w:t>。</w:t>
      </w:r>
      <w:r>
        <w:rPr>
          <w:rFonts w:eastAsia="仿宋_GB2312"/>
          <w:b/>
          <w:bCs/>
          <w:sz w:val="32"/>
          <w:szCs w:val="32"/>
        </w:rPr>
        <w:t>二是</w:t>
      </w:r>
      <w:r>
        <w:rPr>
          <w:rFonts w:eastAsia="仿宋_GB2312"/>
          <w:sz w:val="32"/>
          <w:szCs w:val="32"/>
        </w:rPr>
        <w:t>推基层妇联组织与社区网格化管理有效融合</w:t>
      </w:r>
      <w:r>
        <w:rPr>
          <w:rFonts w:eastAsia="仿宋_GB2312"/>
          <w:bCs/>
          <w:sz w:val="32"/>
          <w:szCs w:val="32"/>
        </w:rPr>
        <w:t>。</w:t>
      </w:r>
    </w:p>
    <w:p>
      <w:pPr>
        <w:spacing w:line="580" w:lineRule="exact"/>
        <w:ind w:firstLine="706" w:firstLineChars="220"/>
        <w:rPr>
          <w:rFonts w:eastAsia="仿宋_GB2312"/>
          <w:sz w:val="32"/>
          <w:szCs w:val="32"/>
        </w:rPr>
      </w:pPr>
      <w:r>
        <w:rPr>
          <w:rFonts w:hint="eastAsia" w:ascii="仿宋_GB2312" w:eastAsia="仿宋_GB2312"/>
          <w:b/>
          <w:bCs/>
          <w:sz w:val="32"/>
          <w:szCs w:val="32"/>
        </w:rPr>
        <w:t>8</w:t>
      </w:r>
      <w:r>
        <w:rPr>
          <w:rFonts w:ascii="仿宋_GB2312" w:eastAsia="仿宋_GB2312"/>
          <w:b/>
          <w:bCs/>
          <w:sz w:val="32"/>
          <w:szCs w:val="32"/>
        </w:rPr>
        <w:t>.力推女性组织联络。</w:t>
      </w:r>
      <w:r>
        <w:rPr>
          <w:rFonts w:eastAsia="仿宋_GB2312"/>
          <w:b/>
          <w:sz w:val="32"/>
          <w:szCs w:val="32"/>
        </w:rPr>
        <w:t>一是</w:t>
      </w:r>
      <w:r>
        <w:rPr>
          <w:rFonts w:eastAsia="仿宋_GB2312"/>
          <w:sz w:val="32"/>
          <w:szCs w:val="32"/>
        </w:rPr>
        <w:t>联合社工服务妇儿和家庭；落实执委领办制度，上报执委履职典型案例3篇；服务女科技工作者，推荐省女科技工作者协会会员3名，理事1名；指导开展“巾帼助农直通车”活动。</w:t>
      </w:r>
      <w:r>
        <w:rPr>
          <w:rFonts w:eastAsia="仿宋_GB2312"/>
          <w:b/>
          <w:bCs/>
          <w:sz w:val="32"/>
          <w:szCs w:val="32"/>
        </w:rPr>
        <w:t>二是</w:t>
      </w:r>
      <w:r>
        <w:rPr>
          <w:rFonts w:eastAsia="仿宋_GB2312"/>
          <w:sz w:val="32"/>
          <w:szCs w:val="32"/>
        </w:rPr>
        <w:t>成立州女企业家协会，开协会第一次会员代表大会暨成立大会，选举班子成员6名，理事、监事、监事长等24名。</w:t>
      </w:r>
    </w:p>
    <w:p>
      <w:pPr>
        <w:spacing w:line="580" w:lineRule="exact"/>
        <w:ind w:firstLine="706" w:firstLineChars="220"/>
        <w:rPr>
          <w:rFonts w:eastAsia="楷体_GB2312"/>
          <w:b/>
          <w:bCs/>
          <w:sz w:val="32"/>
          <w:szCs w:val="32"/>
        </w:rPr>
      </w:pPr>
      <w:r>
        <w:rPr>
          <w:rFonts w:hint="eastAsia" w:ascii="仿宋_GB2312" w:eastAsia="仿宋_GB2312"/>
          <w:b/>
          <w:bCs/>
          <w:sz w:val="32"/>
          <w:szCs w:val="32"/>
        </w:rPr>
        <w:t>9.</w:t>
      </w:r>
      <w:r>
        <w:rPr>
          <w:rFonts w:ascii="仿宋_GB2312" w:eastAsia="仿宋_GB2312"/>
          <w:b/>
          <w:bCs/>
          <w:sz w:val="32"/>
          <w:szCs w:val="32"/>
        </w:rPr>
        <w:t>着力强化疫情防控</w:t>
      </w:r>
      <w:r>
        <w:rPr>
          <w:rFonts w:hint="eastAsia" w:ascii="仿宋_GB2312" w:eastAsia="仿宋_GB2312"/>
          <w:b/>
          <w:bCs/>
          <w:sz w:val="32"/>
          <w:szCs w:val="32"/>
        </w:rPr>
        <w:t>。</w:t>
      </w:r>
      <w:r>
        <w:rPr>
          <w:rFonts w:eastAsia="仿宋_GB2312"/>
          <w:b/>
          <w:bCs/>
          <w:sz w:val="32"/>
          <w:szCs w:val="32"/>
        </w:rPr>
        <w:t>一是</w:t>
      </w:r>
      <w:r>
        <w:rPr>
          <w:rFonts w:eastAsia="仿宋_GB2312"/>
          <w:sz w:val="32"/>
          <w:szCs w:val="32"/>
        </w:rPr>
        <w:t>强化干部职工防控和责任意识，落实各项任务，形成《阿坝州妇联疫情防控期间信访接待工作应急预案》。</w:t>
      </w:r>
      <w:r>
        <w:rPr>
          <w:rFonts w:eastAsia="仿宋_GB2312"/>
          <w:b/>
          <w:bCs/>
          <w:sz w:val="32"/>
          <w:szCs w:val="32"/>
        </w:rPr>
        <w:t>二是</w:t>
      </w:r>
      <w:r>
        <w:rPr>
          <w:rFonts w:eastAsia="仿宋_GB2312"/>
          <w:sz w:val="32"/>
          <w:szCs w:val="32"/>
        </w:rPr>
        <w:t>围绕疫情防控等开展藏汉双语宣讲，发资料3万余份，组织志愿服务等500余场次，创洁美家园，筑家庭防线。</w:t>
      </w:r>
      <w:r>
        <w:rPr>
          <w:rFonts w:eastAsia="仿宋_GB2312"/>
          <w:b/>
          <w:sz w:val="32"/>
          <w:szCs w:val="32"/>
        </w:rPr>
        <w:t>三是</w:t>
      </w:r>
      <w:r>
        <w:rPr>
          <w:rFonts w:eastAsia="仿宋_GB2312"/>
          <w:bCs/>
          <w:sz w:val="32"/>
          <w:szCs w:val="32"/>
        </w:rPr>
        <w:t>开展</w:t>
      </w:r>
      <w:r>
        <w:rPr>
          <w:rFonts w:eastAsia="仿宋_GB2312"/>
          <w:sz w:val="32"/>
          <w:szCs w:val="32"/>
        </w:rPr>
        <w:t>“净土春晖巾帼抗疫”——“送芳菲清凉礼包”等活动，为</w:t>
      </w:r>
      <w:r>
        <w:rPr>
          <w:rFonts w:eastAsia="仿宋_GB2312"/>
          <w:bCs/>
          <w:sz w:val="32"/>
          <w:szCs w:val="32"/>
        </w:rPr>
        <w:t>76名</w:t>
      </w:r>
      <w:r>
        <w:rPr>
          <w:rFonts w:eastAsia="仿宋_GB2312"/>
          <w:sz w:val="32"/>
          <w:szCs w:val="32"/>
        </w:rPr>
        <w:t>基层一线防疫女工作者送去了3000元慰问金和70份礼包。</w:t>
      </w:r>
    </w:p>
    <w:p>
      <w:pPr>
        <w:pStyle w:val="5"/>
        <w:spacing w:before="93" w:line="580" w:lineRule="exact"/>
        <w:ind w:firstLine="706" w:firstLineChars="220"/>
        <w:rPr>
          <w:rFonts w:ascii="Times New Roman" w:eastAsia="楷体_GB2312"/>
          <w:b/>
          <w:bCs/>
          <w:sz w:val="32"/>
          <w:szCs w:val="32"/>
        </w:rPr>
      </w:pPr>
      <w:r>
        <w:rPr>
          <w:rFonts w:hint="eastAsia"/>
          <w:b/>
          <w:bCs/>
          <w:kern w:val="2"/>
          <w:sz w:val="32"/>
          <w:szCs w:val="32"/>
        </w:rPr>
        <w:t>10.</w:t>
      </w:r>
      <w:r>
        <w:rPr>
          <w:b/>
          <w:bCs/>
          <w:kern w:val="2"/>
          <w:sz w:val="32"/>
          <w:szCs w:val="32"/>
        </w:rPr>
        <w:t>着力“两纲”督导检查</w:t>
      </w:r>
      <w:r>
        <w:rPr>
          <w:rFonts w:hint="eastAsia"/>
          <w:b/>
          <w:bCs/>
          <w:kern w:val="2"/>
          <w:sz w:val="32"/>
          <w:szCs w:val="32"/>
        </w:rPr>
        <w:t>。</w:t>
      </w:r>
      <w:r>
        <w:rPr>
          <w:rFonts w:ascii="Times New Roman"/>
          <w:sz w:val="32"/>
          <w:szCs w:val="32"/>
        </w:rPr>
        <w:t>终期评估检查组深入13个县（市）100余个单位考察和调研，收集新周期“两纲”编制意见建议90余条，高质量完成评估检查，启动新一轮两纲编制，争取将“两纲”纳入“十四五”规划。</w:t>
      </w:r>
    </w:p>
    <w:p>
      <w:pPr>
        <w:pStyle w:val="16"/>
        <w:spacing w:after="0" w:line="580" w:lineRule="exact"/>
        <w:ind w:left="0" w:leftChars="0" w:firstLine="704" w:firstLineChars="220"/>
        <w:rPr>
          <w:rFonts w:ascii="黑体" w:hAnsi="黑体" w:eastAsia="黑体"/>
          <w:b/>
          <w:bCs/>
          <w:sz w:val="32"/>
          <w:szCs w:val="32"/>
        </w:rPr>
      </w:pPr>
      <w:bookmarkStart w:id="23" w:name="_Toc15377200"/>
      <w:bookmarkStart w:id="24" w:name="_Toc15396601"/>
      <w:r>
        <w:rPr>
          <w:rFonts w:hint="eastAsia" w:ascii="黑体" w:hAnsi="黑体" w:eastAsia="黑体" w:cs="Times New Roman"/>
          <w:sz w:val="32"/>
          <w:szCs w:val="32"/>
        </w:rPr>
        <w:t>二、机</w:t>
      </w:r>
      <w:r>
        <w:rPr>
          <w:rFonts w:hint="eastAsia" w:ascii="黑体" w:hAnsi="黑体" w:eastAsia="黑体"/>
          <w:sz w:val="32"/>
          <w:szCs w:val="32"/>
        </w:rPr>
        <w:t>构设置</w:t>
      </w:r>
      <w:bookmarkEnd w:id="23"/>
      <w:bookmarkEnd w:id="24"/>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25" w:name="_Toc16783"/>
      <w:bookmarkStart w:id="26" w:name="_Toc6361"/>
      <w:bookmarkStart w:id="27" w:name="_Toc15396602"/>
      <w:bookmarkStart w:id="28" w:name="_Toc15377204"/>
      <w:r>
        <w:rPr>
          <w:rFonts w:hint="eastAsia" w:ascii="楷体_GB2312" w:eastAsia="楷体_GB2312"/>
          <w:b/>
          <w:bCs/>
          <w:sz w:val="32"/>
          <w:szCs w:val="32"/>
        </w:rPr>
        <w:t>（一）机构情况</w:t>
      </w:r>
      <w:bookmarkEnd w:id="25"/>
      <w:bookmarkEnd w:id="26"/>
    </w:p>
    <w:p>
      <w:pPr>
        <w:pStyle w:val="16"/>
        <w:spacing w:after="0" w:line="580" w:lineRule="exact"/>
        <w:ind w:left="0" w:leftChars="0" w:firstLine="704" w:firstLineChars="220"/>
        <w:rPr>
          <w:rFonts w:ascii="仿宋_GB2312" w:hAnsi="Times New Roman" w:eastAsia="仿宋_GB2312" w:cs="Times New Roman"/>
          <w:sz w:val="32"/>
          <w:szCs w:val="32"/>
        </w:rPr>
      </w:pPr>
      <w:bookmarkStart w:id="29" w:name="_Toc26046"/>
      <w:bookmarkStart w:id="30" w:name="_Toc4243"/>
      <w:r>
        <w:rPr>
          <w:rFonts w:hint="eastAsia" w:ascii="仿宋_GB2312" w:hAnsi="Times New Roman" w:eastAsia="仿宋_GB2312" w:cs="Times New Roman"/>
          <w:sz w:val="32"/>
          <w:szCs w:val="32"/>
        </w:rPr>
        <w:t>本单位本年度纳入本套决算编制范围的独立编制机构数共1个，比上年增加0个；独立核算机构数共1个，比上年增加0个。我会设一室三部，即办公室、家儿维权部、宣传组织部、发展部联络部。州政府妇儿工委办设在我会。</w:t>
      </w:r>
    </w:p>
    <w:p>
      <w:pPr>
        <w:pStyle w:val="5"/>
        <w:adjustRightInd w:val="0"/>
        <w:snapToGrid w:val="0"/>
        <w:spacing w:beforeLines="0" w:line="600" w:lineRule="exact"/>
        <w:ind w:firstLine="642" w:firstLineChars="200"/>
        <w:outlineLvl w:val="2"/>
        <w:rPr>
          <w:rFonts w:ascii="楷体_GB2312" w:eastAsia="楷体_GB2312"/>
          <w:b/>
          <w:bCs/>
          <w:sz w:val="32"/>
          <w:szCs w:val="32"/>
        </w:rPr>
      </w:pPr>
      <w:r>
        <w:rPr>
          <w:rFonts w:hint="eastAsia" w:ascii="楷体_GB2312" w:eastAsia="楷体_GB2312"/>
          <w:b/>
          <w:bCs/>
          <w:sz w:val="32"/>
          <w:szCs w:val="32"/>
        </w:rPr>
        <w:t>(二)人员情况</w:t>
      </w:r>
      <w:bookmarkEnd w:id="29"/>
      <w:bookmarkEnd w:id="30"/>
    </w:p>
    <w:p>
      <w:pPr>
        <w:pStyle w:val="16"/>
        <w:spacing w:after="0" w:line="580" w:lineRule="exact"/>
        <w:ind w:left="0" w:leftChars="0" w:firstLine="704" w:firstLineChars="220"/>
        <w:rPr>
          <w:rFonts w:ascii="仿宋_GB2312" w:hAnsi="Times New Roman" w:eastAsia="仿宋_GB2312" w:cs="Times New Roman"/>
          <w:sz w:val="32"/>
          <w:szCs w:val="32"/>
        </w:rPr>
      </w:pPr>
      <w:r>
        <w:rPr>
          <w:rFonts w:hint="eastAsia" w:ascii="仿宋_GB2312" w:hAnsi="Times New Roman" w:eastAsia="仿宋_GB2312" w:cs="Times New Roman"/>
          <w:sz w:val="32"/>
          <w:szCs w:val="32"/>
        </w:rPr>
        <w:t>总编制14名，其中：行政编制11名，工勤人员3名。在职人员总数13名，其中：行政人员10名，工勤人员3名；退休人员6人。</w:t>
      </w:r>
    </w:p>
    <w:p>
      <w:pPr>
        <w:pStyle w:val="2"/>
        <w:ind w:right="440"/>
        <w:jc w:val="center"/>
        <w:rPr>
          <w:rFonts w:ascii="黑体" w:eastAsia="黑体"/>
          <w:b w:val="0"/>
        </w:rPr>
      </w:pPr>
      <w:r>
        <w:rPr>
          <w:rFonts w:hint="eastAsia" w:ascii="黑体" w:eastAsia="黑体"/>
          <w:b w:val="0"/>
        </w:rPr>
        <w:t>第二部分2021年度</w:t>
      </w:r>
      <w:r>
        <w:rPr>
          <w:rStyle w:val="21"/>
          <w:rFonts w:hint="eastAsia" w:ascii="黑体" w:eastAsia="黑体"/>
          <w:b w:val="0"/>
          <w:bCs/>
        </w:rPr>
        <w:t>部门决算情况说明</w:t>
      </w:r>
      <w:bookmarkEnd w:id="27"/>
      <w:bookmarkEnd w:id="28"/>
    </w:p>
    <w:p>
      <w:pPr>
        <w:pStyle w:val="30"/>
        <w:numPr>
          <w:ilvl w:val="0"/>
          <w:numId w:val="1"/>
        </w:numPr>
        <w:spacing w:line="600" w:lineRule="exact"/>
        <w:ind w:left="0" w:firstLine="707" w:firstLineChars="221"/>
        <w:outlineLvl w:val="1"/>
        <w:rPr>
          <w:rStyle w:val="23"/>
          <w:rFonts w:ascii="黑体" w:eastAsia="黑体"/>
          <w:b w:val="0"/>
        </w:rPr>
      </w:pPr>
      <w:bookmarkStart w:id="31" w:name="_Toc15396603"/>
      <w:bookmarkStart w:id="32" w:name="_Toc15377205"/>
      <w:r>
        <w:rPr>
          <w:rFonts w:hint="eastAsia" w:ascii="黑体" w:eastAsia="黑体"/>
          <w:sz w:val="32"/>
          <w:szCs w:val="32"/>
        </w:rPr>
        <w:t>收</w:t>
      </w:r>
      <w:r>
        <w:rPr>
          <w:rStyle w:val="23"/>
          <w:rFonts w:hint="eastAsia" w:ascii="黑体" w:eastAsia="黑体"/>
          <w:b w:val="0"/>
        </w:rPr>
        <w:t>入支出决算总体情况说明</w:t>
      </w:r>
      <w:bookmarkEnd w:id="31"/>
      <w:bookmarkEnd w:id="32"/>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2021年度收、支总计1089.12万元。与2020年相比，收、支总计各增加131.98万元、83.08万元，增长32.33%、17.83%。主要变动原因是：一是因为工作任务加大，车辆进行大型维修，二是2020年年底召开阿坝州妇女第十三次代表大会，于2021年支付会议经费；三是省上增加专项经费，增加了13县（市）调研等工作。</w:t>
      </w:r>
    </w:p>
    <w:p>
      <w:pPr>
        <w:pStyle w:val="5"/>
        <w:spacing w:before="93"/>
        <w:jc w:val="center"/>
      </w:pPr>
      <w:r>
        <w:rPr>
          <w:rFonts w:ascii="仿宋" w:hAnsi="仿宋" w:eastAsia="仿宋"/>
          <w:color w:val="000000"/>
          <w:sz w:val="32"/>
          <w:szCs w:val="32"/>
        </w:rPr>
        <w:drawing>
          <wp:anchor distT="0" distB="0" distL="0" distR="0" simplePos="0" relativeHeight="251659264" behindDoc="0" locked="0" layoutInCell="1" allowOverlap="1">
            <wp:simplePos x="0" y="0"/>
            <wp:positionH relativeFrom="column">
              <wp:posOffset>1223645</wp:posOffset>
            </wp:positionH>
            <wp:positionV relativeFrom="paragraph">
              <wp:posOffset>311785</wp:posOffset>
            </wp:positionV>
            <wp:extent cx="2916555" cy="1731010"/>
            <wp:effectExtent l="4445" t="4445" r="1270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30"/>
        <w:numPr>
          <w:ilvl w:val="0"/>
          <w:numId w:val="1"/>
        </w:numPr>
        <w:spacing w:line="600" w:lineRule="exact"/>
        <w:ind w:left="0" w:firstLine="566" w:firstLineChars="177"/>
        <w:outlineLvl w:val="1"/>
        <w:rPr>
          <w:rStyle w:val="23"/>
          <w:rFonts w:ascii="黑体" w:eastAsia="黑体"/>
          <w:b w:val="0"/>
        </w:rPr>
      </w:pPr>
      <w:bookmarkStart w:id="33" w:name="_Toc15396604"/>
      <w:bookmarkStart w:id="34" w:name="_Toc15377206"/>
      <w:r>
        <w:rPr>
          <w:rFonts w:hint="eastAsia" w:ascii="黑体" w:eastAsia="黑体"/>
          <w:sz w:val="32"/>
          <w:szCs w:val="32"/>
        </w:rPr>
        <w:t>收</w:t>
      </w:r>
      <w:r>
        <w:rPr>
          <w:rStyle w:val="23"/>
          <w:rFonts w:hint="eastAsia" w:ascii="黑体" w:eastAsia="黑体"/>
          <w:b w:val="0"/>
        </w:rPr>
        <w:t>入决算情况说明</w:t>
      </w:r>
      <w:bookmarkEnd w:id="33"/>
      <w:bookmarkEnd w:id="34"/>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540.20万元，其中：一般公共预算财政拨款收入为540.20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r>
        <w:rPr>
          <w:rFonts w:ascii="仿宋" w:hAnsi="仿宋" w:eastAsia="仿宋"/>
          <w:color w:val="000000"/>
          <w:sz w:val="32"/>
          <w:szCs w:val="32"/>
        </w:rPr>
        <w:drawing>
          <wp:inline distT="0" distB="0" distL="0" distR="0">
            <wp:extent cx="5049520" cy="2073275"/>
            <wp:effectExtent l="5080" t="4445" r="12700" b="177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（图2：收入决算结构图）</w:t>
      </w:r>
    </w:p>
    <w:p>
      <w:pPr>
        <w:pStyle w:val="30"/>
        <w:numPr>
          <w:ilvl w:val="0"/>
          <w:numId w:val="1"/>
        </w:numPr>
        <w:spacing w:line="600" w:lineRule="exact"/>
        <w:ind w:left="0" w:firstLine="566" w:firstLineChars="177"/>
        <w:outlineLvl w:val="1"/>
        <w:rPr>
          <w:rStyle w:val="23"/>
          <w:rFonts w:ascii="黑体" w:eastAsia="黑体"/>
          <w:b w:val="0"/>
        </w:rPr>
      </w:pPr>
      <w:bookmarkStart w:id="35" w:name="_Toc15377207"/>
      <w:bookmarkStart w:id="36" w:name="_Toc15396605"/>
      <w:r>
        <w:rPr>
          <w:rFonts w:hint="eastAsia" w:ascii="黑体" w:eastAsia="黑体"/>
          <w:sz w:val="32"/>
          <w:szCs w:val="32"/>
        </w:rPr>
        <w:t>支</w:t>
      </w:r>
      <w:r>
        <w:rPr>
          <w:rStyle w:val="23"/>
          <w:rFonts w:hint="eastAsia" w:ascii="黑体" w:eastAsia="黑体"/>
          <w:b w:val="0"/>
        </w:rPr>
        <w:t>出决算情况说明</w:t>
      </w:r>
      <w:bookmarkEnd w:id="35"/>
      <w:bookmarkEnd w:id="36"/>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21年本年支出合计548.92万元，其中：基本支出432.31万元，占78.76</w:t>
      </w:r>
      <w:r>
        <w:rPr>
          <w:rFonts w:ascii="仿宋" w:eastAsia="仿宋"/>
          <w:sz w:val="32"/>
          <w:szCs w:val="32"/>
        </w:rPr>
        <w:t>%</w:t>
      </w:r>
      <w:r>
        <w:rPr>
          <w:rFonts w:hint="eastAsia" w:ascii="仿宋" w:eastAsia="仿宋"/>
          <w:sz w:val="32"/>
          <w:szCs w:val="32"/>
        </w:rPr>
        <w:t>；项目支出116.61万元，占21.24</w:t>
      </w:r>
      <w:r>
        <w:rPr>
          <w:rFonts w:ascii="仿宋" w:eastAsia="仿宋"/>
          <w:sz w:val="32"/>
          <w:szCs w:val="32"/>
        </w:rPr>
        <w:t>%</w:t>
      </w:r>
      <w:r>
        <w:rPr>
          <w:rFonts w:hint="eastAsia" w:ascii="仿宋" w:eastAsia="仿宋"/>
          <w:sz w:val="32"/>
          <w:szCs w:val="32"/>
        </w:rPr>
        <w:t>；上缴上级支出0万元，占0</w:t>
      </w:r>
      <w:r>
        <w:rPr>
          <w:rFonts w:ascii="仿宋" w:eastAsia="仿宋"/>
          <w:sz w:val="32"/>
          <w:szCs w:val="32"/>
        </w:rPr>
        <w:t>%</w:t>
      </w:r>
      <w:r>
        <w:rPr>
          <w:rFonts w:hint="eastAsia" w:ascii="仿宋" w:eastAsia="仿宋"/>
          <w:sz w:val="32"/>
          <w:szCs w:val="32"/>
        </w:rPr>
        <w:t>；经营支出0万元，占0</w:t>
      </w:r>
      <w:r>
        <w:rPr>
          <w:rFonts w:ascii="仿宋" w:eastAsia="仿宋"/>
          <w:sz w:val="32"/>
          <w:szCs w:val="32"/>
        </w:rPr>
        <w:t>%</w:t>
      </w:r>
      <w:r>
        <w:rPr>
          <w:rFonts w:hint="eastAsia" w:ascii="仿宋" w:eastAsia="仿宋"/>
          <w:sz w:val="32"/>
          <w:szCs w:val="32"/>
        </w:rPr>
        <w:t>；对附属单位补助支出0万元，占0</w:t>
      </w:r>
      <w:r>
        <w:rPr>
          <w:rFonts w:ascii="仿宋" w:eastAsia="仿宋"/>
          <w:sz w:val="32"/>
          <w:szCs w:val="32"/>
        </w:rPr>
        <w:t>%</w:t>
      </w:r>
      <w:r>
        <w:rPr>
          <w:rFonts w:hint="eastAsia" w:ascii="仿宋" w:eastAsia="仿宋"/>
          <w:sz w:val="32"/>
          <w:szCs w:val="32"/>
        </w:rPr>
        <w:t>。</w:t>
      </w:r>
    </w:p>
    <w:p>
      <w:pPr>
        <w:spacing w:line="600" w:lineRule="exact"/>
        <w:ind w:firstLine="640" w:firstLineChars="200"/>
        <w:jc w:val="center"/>
        <w:rPr>
          <w:rFonts w:ascii="仿宋" w:eastAsia="仿宋"/>
          <w:sz w:val="32"/>
          <w:szCs w:val="32"/>
        </w:rPr>
      </w:pPr>
      <w:r>
        <w:rPr>
          <w:rFonts w:ascii="仿宋" w:hAnsi="仿宋" w:eastAsia="仿宋"/>
          <w:color w:val="000000"/>
          <w:sz w:val="32"/>
          <w:szCs w:val="32"/>
        </w:rPr>
        <w:drawing>
          <wp:anchor distT="0" distB="0" distL="0" distR="0" simplePos="0" relativeHeight="251660288" behindDoc="0" locked="0" layoutInCell="1" allowOverlap="1">
            <wp:simplePos x="0" y="0"/>
            <wp:positionH relativeFrom="column">
              <wp:posOffset>506095</wp:posOffset>
            </wp:positionH>
            <wp:positionV relativeFrom="paragraph">
              <wp:posOffset>105410</wp:posOffset>
            </wp:positionV>
            <wp:extent cx="4220210" cy="2453640"/>
            <wp:effectExtent l="4445" t="4445" r="23495" b="1841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sz w:val="32"/>
          <w:szCs w:val="32"/>
        </w:rPr>
        <w:t>（图3：支出决算结构图）</w:t>
      </w:r>
    </w:p>
    <w:p>
      <w:pPr>
        <w:spacing w:line="600" w:lineRule="exact"/>
        <w:ind w:firstLine="640" w:firstLineChars="200"/>
        <w:outlineLvl w:val="1"/>
        <w:rPr>
          <w:rStyle w:val="23"/>
          <w:rFonts w:ascii="黑体" w:eastAsia="黑体"/>
          <w:b w:val="0"/>
        </w:rPr>
      </w:pPr>
      <w:bookmarkStart w:id="37" w:name="_Toc15396606"/>
      <w:bookmarkStart w:id="38" w:name="_Toc15377208"/>
      <w:r>
        <w:rPr>
          <w:rFonts w:hint="eastAsia" w:ascii="黑体" w:eastAsia="黑体"/>
          <w:sz w:val="32"/>
          <w:szCs w:val="32"/>
        </w:rPr>
        <w:t>四、财</w:t>
      </w:r>
      <w:r>
        <w:rPr>
          <w:rStyle w:val="23"/>
          <w:rFonts w:hint="eastAsia" w:ascii="黑体" w:eastAsia="黑体"/>
          <w:b w:val="0"/>
        </w:rPr>
        <w:t>政拨款收入支出决算总体情况说明</w:t>
      </w:r>
      <w:bookmarkEnd w:id="37"/>
      <w:bookmarkEnd w:id="38"/>
    </w:p>
    <w:p>
      <w:pPr>
        <w:spacing w:line="600" w:lineRule="exact"/>
        <w:ind w:firstLine="640" w:firstLineChars="200"/>
        <w:rPr>
          <w:rStyle w:val="19"/>
          <w:rFonts w:ascii="仿宋_GB2312" w:eastAsia="仿宋_GB2312"/>
          <w:b w:val="0"/>
          <w:bCs/>
          <w:sz w:val="32"/>
          <w:szCs w:val="32"/>
        </w:rPr>
      </w:pPr>
      <w:r>
        <w:rPr>
          <w:rFonts w:hint="eastAsia" w:ascii="仿宋" w:eastAsia="仿宋"/>
          <w:sz w:val="32"/>
          <w:szCs w:val="32"/>
        </w:rPr>
        <w:t>2</w:t>
      </w:r>
      <w:r>
        <w:rPr>
          <w:rStyle w:val="19"/>
          <w:rFonts w:hint="eastAsia" w:ascii="仿宋_GB2312" w:eastAsia="仿宋_GB2312"/>
          <w:b w:val="0"/>
          <w:bCs/>
          <w:sz w:val="32"/>
          <w:szCs w:val="32"/>
        </w:rPr>
        <w:t>021年度收、支总计1089.12万元。与2020年相比，收、支总计各增加131.98万元、83.08万元，增长32.33%、17.83</w:t>
      </w:r>
      <w:r>
        <w:rPr>
          <w:rStyle w:val="19"/>
          <w:rFonts w:ascii="仿宋_GB2312" w:eastAsia="仿宋_GB2312"/>
          <w:b w:val="0"/>
          <w:bCs/>
          <w:sz w:val="32"/>
          <w:szCs w:val="32"/>
        </w:rPr>
        <w:t>%</w:t>
      </w:r>
      <w:r>
        <w:rPr>
          <w:rStyle w:val="19"/>
          <w:rFonts w:hint="eastAsia" w:ascii="仿宋_GB2312" w:eastAsia="仿宋_GB2312"/>
          <w:b w:val="0"/>
          <w:bCs/>
          <w:sz w:val="32"/>
          <w:szCs w:val="32"/>
        </w:rPr>
        <w:t>。主要变动原因是：一是因为工作任务加大，车辆进行大型维修，二是2020年年底召开阿坝州妇女第十三次代表大会，于2021年支付会议经费；三是省上增加专项经费，增加了13县（市）调研等工作。</w:t>
      </w:r>
    </w:p>
    <w:p>
      <w:pPr>
        <w:spacing w:line="600" w:lineRule="exact"/>
        <w:jc w:val="center"/>
        <w:rPr>
          <w:rFonts w:ascii="仿宋" w:eastAsia="仿宋"/>
          <w:b/>
          <w:sz w:val="32"/>
          <w:szCs w:val="32"/>
        </w:rPr>
      </w:pPr>
      <w:r>
        <w:rPr>
          <w:rFonts w:ascii="仿宋" w:hAnsi="仿宋" w:eastAsia="仿宋"/>
          <w:color w:val="000000"/>
          <w:sz w:val="32"/>
          <w:szCs w:val="32"/>
        </w:rPr>
        <w:drawing>
          <wp:anchor distT="0" distB="0" distL="0" distR="0" simplePos="0" relativeHeight="251661312" behindDoc="0" locked="0" layoutInCell="1" allowOverlap="1">
            <wp:simplePos x="0" y="0"/>
            <wp:positionH relativeFrom="column">
              <wp:posOffset>833755</wp:posOffset>
            </wp:positionH>
            <wp:positionV relativeFrom="paragraph">
              <wp:posOffset>103505</wp:posOffset>
            </wp:positionV>
            <wp:extent cx="2916555" cy="1731010"/>
            <wp:effectExtent l="4445" t="4445" r="1270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sz w:val="32"/>
          <w:szCs w:val="32"/>
        </w:rPr>
        <w:t>（图4：财政拨款收、支决算总计变动情况）</w:t>
      </w:r>
    </w:p>
    <w:p>
      <w:pPr>
        <w:spacing w:line="600" w:lineRule="exact"/>
        <w:ind w:firstLine="640" w:firstLineChars="200"/>
        <w:outlineLvl w:val="1"/>
        <w:rPr>
          <w:rStyle w:val="23"/>
          <w:rFonts w:ascii="黑体" w:eastAsia="黑体"/>
          <w:b w:val="0"/>
        </w:rPr>
      </w:pPr>
      <w:bookmarkStart w:id="39" w:name="_Toc15396607"/>
      <w:bookmarkStart w:id="40" w:name="_Toc15377209"/>
      <w:r>
        <w:rPr>
          <w:rFonts w:hint="eastAsia" w:ascii="黑体" w:eastAsia="黑体"/>
          <w:sz w:val="32"/>
          <w:szCs w:val="32"/>
        </w:rPr>
        <w:t>五、</w:t>
      </w:r>
      <w:r>
        <w:rPr>
          <w:rFonts w:hint="eastAsia" w:ascii="黑体" w:eastAsia="黑体"/>
          <w:b/>
          <w:sz w:val="32"/>
          <w:szCs w:val="32"/>
        </w:rPr>
        <w:t>一</w:t>
      </w:r>
      <w:r>
        <w:rPr>
          <w:rStyle w:val="23"/>
          <w:rFonts w:hint="eastAsia" w:ascii="黑体" w:eastAsia="黑体"/>
          <w:b w:val="0"/>
        </w:rPr>
        <w:t>般公共预算财政拨款支出决算情况说明</w:t>
      </w:r>
      <w:bookmarkEnd w:id="39"/>
      <w:bookmarkEnd w:id="40"/>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41" w:name="_Toc15377210"/>
      <w:r>
        <w:rPr>
          <w:rFonts w:hint="eastAsia" w:ascii="楷体_GB2312" w:eastAsia="楷体_GB2312"/>
          <w:b/>
          <w:bCs/>
          <w:sz w:val="32"/>
          <w:szCs w:val="32"/>
        </w:rPr>
        <w:t>（一）一般公共预算财政拨款支出决算总体情况</w:t>
      </w:r>
      <w:bookmarkEnd w:id="41"/>
    </w:p>
    <w:p>
      <w:pPr>
        <w:spacing w:line="600" w:lineRule="exact"/>
        <w:ind w:firstLine="640" w:firstLineChars="200"/>
        <w:rPr>
          <w:rStyle w:val="19"/>
          <w:rFonts w:ascii="仿宋_GB2312" w:eastAsia="仿宋_GB2312"/>
          <w:b w:val="0"/>
          <w:bCs/>
          <w:sz w:val="32"/>
          <w:szCs w:val="32"/>
        </w:rPr>
      </w:pPr>
      <w:r>
        <w:rPr>
          <w:rStyle w:val="19"/>
          <w:rFonts w:ascii="仿宋_GB2312" w:eastAsia="仿宋_GB2312"/>
          <w:b w:val="0"/>
          <w:bCs/>
          <w:sz w:val="32"/>
          <w:szCs w:val="32"/>
        </w:rPr>
        <w:drawing>
          <wp:anchor distT="0" distB="0" distL="0" distR="0" simplePos="0" relativeHeight="251662336" behindDoc="0" locked="0" layoutInCell="1" allowOverlap="1">
            <wp:simplePos x="0" y="0"/>
            <wp:positionH relativeFrom="column">
              <wp:posOffset>1507490</wp:posOffset>
            </wp:positionH>
            <wp:positionV relativeFrom="paragraph">
              <wp:posOffset>2402840</wp:posOffset>
            </wp:positionV>
            <wp:extent cx="2903855" cy="1728470"/>
            <wp:effectExtent l="19050" t="0" r="10795" b="508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Style w:val="19"/>
          <w:rFonts w:ascii="仿宋_GB2312" w:eastAsia="仿宋_GB2312"/>
          <w:b w:val="0"/>
          <w:bCs/>
          <w:sz w:val="32"/>
          <w:szCs w:val="32"/>
        </w:rPr>
        <w:t>20</w:t>
      </w:r>
      <w:r>
        <w:rPr>
          <w:rStyle w:val="19"/>
          <w:rFonts w:hint="eastAsia" w:ascii="仿宋_GB2312" w:eastAsia="仿宋_GB2312"/>
          <w:b w:val="0"/>
          <w:bCs/>
          <w:sz w:val="32"/>
          <w:szCs w:val="32"/>
        </w:rPr>
        <w:t>21年一般公共预算财政拨款支出548.92万元，占本年支出合计的100</w:t>
      </w:r>
      <w:r>
        <w:rPr>
          <w:rStyle w:val="19"/>
          <w:rFonts w:ascii="仿宋_GB2312" w:eastAsia="仿宋_GB2312"/>
          <w:b w:val="0"/>
          <w:bCs/>
          <w:sz w:val="32"/>
          <w:szCs w:val="32"/>
        </w:rPr>
        <w:t>%</w:t>
      </w:r>
      <w:r>
        <w:rPr>
          <w:rStyle w:val="19"/>
          <w:rFonts w:hint="eastAsia" w:ascii="仿宋_GB2312" w:eastAsia="仿宋_GB2312"/>
          <w:b w:val="0"/>
          <w:bCs/>
          <w:sz w:val="32"/>
          <w:szCs w:val="32"/>
        </w:rPr>
        <w:t>。与</w:t>
      </w:r>
      <w:r>
        <w:rPr>
          <w:rStyle w:val="19"/>
          <w:rFonts w:ascii="仿宋_GB2312" w:eastAsia="仿宋_GB2312"/>
          <w:b w:val="0"/>
          <w:bCs/>
          <w:sz w:val="32"/>
          <w:szCs w:val="32"/>
        </w:rPr>
        <w:t>20</w:t>
      </w:r>
      <w:r>
        <w:rPr>
          <w:rStyle w:val="19"/>
          <w:rFonts w:hint="eastAsia" w:ascii="仿宋_GB2312" w:eastAsia="仿宋_GB2312"/>
          <w:b w:val="0"/>
          <w:bCs/>
          <w:sz w:val="32"/>
          <w:szCs w:val="32"/>
        </w:rPr>
        <w:t>20年相比，一般公共预算财政拨款支出增加83.08万元，增长17.83</w:t>
      </w:r>
      <w:r>
        <w:rPr>
          <w:rStyle w:val="19"/>
          <w:rFonts w:ascii="仿宋_GB2312" w:eastAsia="仿宋_GB2312"/>
          <w:b w:val="0"/>
          <w:bCs/>
          <w:sz w:val="32"/>
          <w:szCs w:val="32"/>
        </w:rPr>
        <w:t>%</w:t>
      </w:r>
      <w:r>
        <w:rPr>
          <w:rStyle w:val="19"/>
          <w:rFonts w:hint="eastAsia" w:ascii="仿宋_GB2312" w:eastAsia="仿宋_GB2312"/>
          <w:b w:val="0"/>
          <w:bCs/>
          <w:sz w:val="32"/>
          <w:szCs w:val="32"/>
        </w:rPr>
        <w:t>。一是因为工作任务加大，车辆进行大型维修，二是2020年年底召开阿坝州妇女第十三次代表大会，于2021年支付会议经费；三是省上增加专项经费，增加了13县（市）调研等工作。</w:t>
      </w:r>
    </w:p>
    <w:p>
      <w:pPr>
        <w:spacing w:line="600" w:lineRule="exact"/>
        <w:ind w:firstLine="640" w:firstLineChars="200"/>
        <w:jc w:val="center"/>
        <w:rPr>
          <w:rFonts w:ascii="仿宋" w:eastAsia="仿宋"/>
          <w:sz w:val="32"/>
          <w:szCs w:val="32"/>
        </w:rPr>
      </w:pPr>
      <w:r>
        <w:rPr>
          <w:rFonts w:hint="eastAsia" w:ascii="仿宋" w:eastAsia="仿宋"/>
          <w:sz w:val="32"/>
          <w:szCs w:val="32"/>
        </w:rPr>
        <w:t>（图5：一般公共预算财政拨款支出决算变动情况）</w:t>
      </w:r>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42" w:name="_Toc15377211"/>
      <w:r>
        <w:rPr>
          <w:rFonts w:hint="eastAsia" w:ascii="楷体_GB2312" w:eastAsia="楷体_GB2312"/>
          <w:b/>
          <w:bCs/>
          <w:sz w:val="32"/>
          <w:szCs w:val="32"/>
        </w:rPr>
        <w:t>（二）一般公共预算财政拨款支出决算结构情况</w:t>
      </w:r>
      <w:bookmarkEnd w:id="42"/>
    </w:p>
    <w:p>
      <w:pPr>
        <w:spacing w:line="600" w:lineRule="exact"/>
        <w:ind w:firstLine="640" w:firstLineChars="200"/>
        <w:rPr>
          <w:rStyle w:val="19"/>
          <w:rFonts w:ascii="仿宋_GB2312" w:eastAsia="仿宋_GB2312"/>
          <w:b w:val="0"/>
          <w:bCs/>
          <w:sz w:val="32"/>
          <w:szCs w:val="32"/>
        </w:rPr>
      </w:pPr>
      <w:r>
        <w:rPr>
          <w:rStyle w:val="19"/>
          <w:rFonts w:ascii="仿宋_GB2312" w:eastAsia="仿宋_GB2312"/>
          <w:b w:val="0"/>
          <w:bCs/>
          <w:sz w:val="32"/>
          <w:szCs w:val="32"/>
        </w:rPr>
        <w:t>20</w:t>
      </w:r>
      <w:r>
        <w:rPr>
          <w:rStyle w:val="19"/>
          <w:rFonts w:hint="eastAsia" w:ascii="仿宋_GB2312" w:eastAsia="仿宋_GB2312"/>
          <w:b w:val="0"/>
          <w:bCs/>
          <w:sz w:val="32"/>
          <w:szCs w:val="32"/>
        </w:rPr>
        <w:t>21年一般公共预算财政拨款支出548.92万元，主要用于以下方面</w:t>
      </w:r>
      <w:r>
        <w:rPr>
          <w:rStyle w:val="19"/>
          <w:rFonts w:ascii="仿宋_GB2312" w:eastAsia="仿宋_GB2312"/>
          <w:b w:val="0"/>
          <w:bCs/>
          <w:sz w:val="32"/>
          <w:szCs w:val="32"/>
        </w:rPr>
        <w:t>:</w:t>
      </w:r>
      <w:r>
        <w:rPr>
          <w:rStyle w:val="19"/>
          <w:rFonts w:hint="eastAsia" w:ascii="仿宋_GB2312" w:eastAsia="仿宋_GB2312"/>
          <w:b w:val="0"/>
          <w:bCs/>
          <w:sz w:val="32"/>
          <w:szCs w:val="32"/>
        </w:rPr>
        <w:t>一般公共服务（201）支出482.96万元，占87.98</w:t>
      </w:r>
      <w:r>
        <w:rPr>
          <w:rStyle w:val="19"/>
          <w:rFonts w:ascii="仿宋_GB2312" w:eastAsia="仿宋_GB2312"/>
          <w:b w:val="0"/>
          <w:bCs/>
          <w:sz w:val="32"/>
          <w:szCs w:val="32"/>
        </w:rPr>
        <w:t>%</w:t>
      </w:r>
      <w:r>
        <w:rPr>
          <w:rStyle w:val="19"/>
          <w:rFonts w:hint="eastAsia" w:ascii="仿宋_GB2312" w:eastAsia="仿宋_GB2312"/>
          <w:b w:val="0"/>
          <w:bCs/>
          <w:sz w:val="32"/>
          <w:szCs w:val="32"/>
        </w:rPr>
        <w:t>；教育支出（类）0万元，占0</w:t>
      </w:r>
      <w:r>
        <w:rPr>
          <w:rStyle w:val="19"/>
          <w:rFonts w:ascii="仿宋_GB2312" w:eastAsia="仿宋_GB2312"/>
          <w:b w:val="0"/>
          <w:bCs/>
          <w:sz w:val="32"/>
          <w:szCs w:val="32"/>
        </w:rPr>
        <w:t>%</w:t>
      </w:r>
      <w:r>
        <w:rPr>
          <w:rStyle w:val="19"/>
          <w:rFonts w:hint="eastAsia" w:ascii="仿宋_GB2312" w:eastAsia="仿宋_GB2312"/>
          <w:b w:val="0"/>
          <w:bCs/>
          <w:sz w:val="32"/>
          <w:szCs w:val="32"/>
        </w:rPr>
        <w:t>；科学技术（类）支出0万元，占0</w:t>
      </w:r>
      <w:r>
        <w:rPr>
          <w:rStyle w:val="19"/>
          <w:rFonts w:ascii="仿宋_GB2312" w:eastAsia="仿宋_GB2312"/>
          <w:b w:val="0"/>
          <w:bCs/>
          <w:sz w:val="32"/>
          <w:szCs w:val="32"/>
        </w:rPr>
        <w:t>%</w:t>
      </w:r>
      <w:r>
        <w:rPr>
          <w:rStyle w:val="19"/>
          <w:rFonts w:hint="eastAsia" w:ascii="仿宋_GB2312" w:eastAsia="仿宋_GB2312"/>
          <w:b w:val="0"/>
          <w:bCs/>
          <w:sz w:val="32"/>
          <w:szCs w:val="32"/>
        </w:rPr>
        <w:t>；</w:t>
      </w:r>
      <w:r>
        <w:rPr>
          <w:rStyle w:val="19"/>
          <w:rFonts w:hint="eastAsia" w:ascii="仿宋_GB2312" w:eastAsia="仿宋_GB2312"/>
          <w:b w:val="0"/>
          <w:sz w:val="32"/>
          <w:szCs w:val="32"/>
        </w:rPr>
        <w:t>文化旅游体育与传媒（类）</w:t>
      </w:r>
      <w:r>
        <w:rPr>
          <w:rStyle w:val="19"/>
          <w:rFonts w:hint="eastAsia" w:ascii="仿宋_GB2312" w:eastAsia="仿宋_GB2312"/>
          <w:b w:val="0"/>
          <w:bCs/>
          <w:sz w:val="32"/>
          <w:szCs w:val="32"/>
        </w:rPr>
        <w:t>支出0万元，占0%；社会保障和就业（208）支出31.21万元，占5.69</w:t>
      </w:r>
      <w:r>
        <w:rPr>
          <w:rStyle w:val="19"/>
          <w:rFonts w:ascii="仿宋_GB2312" w:eastAsia="仿宋_GB2312"/>
          <w:b w:val="0"/>
          <w:bCs/>
          <w:sz w:val="32"/>
          <w:szCs w:val="32"/>
        </w:rPr>
        <w:t>%</w:t>
      </w:r>
      <w:r>
        <w:rPr>
          <w:rStyle w:val="19"/>
          <w:rFonts w:hint="eastAsia" w:ascii="仿宋_GB2312" w:eastAsia="仿宋_GB2312"/>
          <w:b w:val="0"/>
          <w:bCs/>
          <w:sz w:val="32"/>
          <w:szCs w:val="32"/>
        </w:rPr>
        <w:t>；</w:t>
      </w:r>
      <w:r>
        <w:rPr>
          <w:rStyle w:val="19"/>
          <w:rFonts w:hint="eastAsia" w:ascii="仿宋_GB2312" w:eastAsia="仿宋_GB2312"/>
          <w:b w:val="0"/>
          <w:sz w:val="32"/>
          <w:szCs w:val="32"/>
        </w:rPr>
        <w:t>卫生健康（210）</w:t>
      </w:r>
      <w:r>
        <w:rPr>
          <w:rStyle w:val="19"/>
          <w:rFonts w:hint="eastAsia" w:ascii="仿宋_GB2312" w:eastAsia="仿宋_GB2312"/>
          <w:b w:val="0"/>
          <w:bCs/>
          <w:sz w:val="32"/>
          <w:szCs w:val="32"/>
        </w:rPr>
        <w:t>支出14.14万元，占2.58</w:t>
      </w:r>
      <w:r>
        <w:rPr>
          <w:rStyle w:val="19"/>
          <w:rFonts w:ascii="仿宋_GB2312" w:eastAsia="仿宋_GB2312"/>
          <w:b w:val="0"/>
          <w:bCs/>
          <w:sz w:val="32"/>
          <w:szCs w:val="32"/>
        </w:rPr>
        <w:t>%</w:t>
      </w:r>
      <w:r>
        <w:rPr>
          <w:rStyle w:val="19"/>
          <w:rFonts w:hint="eastAsia" w:ascii="仿宋_GB2312" w:eastAsia="仿宋_GB2312"/>
          <w:b w:val="0"/>
          <w:bCs/>
          <w:sz w:val="32"/>
          <w:szCs w:val="32"/>
        </w:rPr>
        <w:t>；</w:t>
      </w:r>
      <w:r>
        <w:rPr>
          <w:rStyle w:val="19"/>
          <w:rFonts w:hint="eastAsia" w:ascii="仿宋_GB2312" w:eastAsia="仿宋_GB2312"/>
          <w:b w:val="0"/>
          <w:sz w:val="32"/>
          <w:szCs w:val="32"/>
        </w:rPr>
        <w:t>住房保障（221）</w:t>
      </w:r>
      <w:r>
        <w:rPr>
          <w:rStyle w:val="19"/>
          <w:rFonts w:hint="eastAsia" w:ascii="仿宋_GB2312" w:eastAsia="仿宋_GB2312"/>
          <w:b w:val="0"/>
          <w:bCs/>
          <w:sz w:val="32"/>
          <w:szCs w:val="32"/>
        </w:rPr>
        <w:t>支出20.60万元，占3.75</w:t>
      </w:r>
      <w:r>
        <w:rPr>
          <w:rStyle w:val="19"/>
          <w:rFonts w:ascii="仿宋_GB2312" w:eastAsia="仿宋_GB2312"/>
          <w:b w:val="0"/>
          <w:bCs/>
          <w:sz w:val="32"/>
          <w:szCs w:val="32"/>
        </w:rPr>
        <w:t>%</w:t>
      </w:r>
      <w:r>
        <w:rPr>
          <w:rStyle w:val="19"/>
          <w:rFonts w:hint="eastAsia" w:ascii="仿宋_GB2312" w:eastAsia="仿宋_GB2312"/>
          <w:b w:val="0"/>
          <w:bCs/>
          <w:sz w:val="32"/>
          <w:szCs w:val="32"/>
        </w:rPr>
        <w:t>。</w:t>
      </w:r>
    </w:p>
    <w:p>
      <w:pPr>
        <w:spacing w:line="600" w:lineRule="exact"/>
        <w:jc w:val="center"/>
        <w:rPr>
          <w:rFonts w:ascii="仿宋" w:eastAsia="仿宋"/>
          <w:sz w:val="32"/>
          <w:szCs w:val="32"/>
        </w:rPr>
      </w:pPr>
      <w:r>
        <w:rPr>
          <w:rFonts w:ascii="仿宋" w:hAnsi="仿宋" w:eastAsia="仿宋"/>
          <w:color w:val="000000"/>
          <w:sz w:val="32"/>
          <w:szCs w:val="32"/>
        </w:rPr>
        <w:drawing>
          <wp:anchor distT="0" distB="0" distL="0" distR="0" simplePos="0" relativeHeight="251663360" behindDoc="0" locked="0" layoutInCell="1" allowOverlap="1">
            <wp:simplePos x="0" y="0"/>
            <wp:positionH relativeFrom="column">
              <wp:posOffset>759460</wp:posOffset>
            </wp:positionH>
            <wp:positionV relativeFrom="paragraph">
              <wp:posOffset>280670</wp:posOffset>
            </wp:positionV>
            <wp:extent cx="4220210" cy="2453640"/>
            <wp:effectExtent l="19050" t="0" r="27940" b="381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eastAsia="仿宋"/>
          <w:sz w:val="32"/>
          <w:szCs w:val="32"/>
        </w:rPr>
        <w:t>（图6：一般公共预算财政拨款支出决算结构）</w:t>
      </w:r>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43" w:name="_Toc15377212"/>
      <w:r>
        <w:rPr>
          <w:rFonts w:hint="eastAsia" w:ascii="楷体_GB2312" w:eastAsia="楷体_GB2312"/>
          <w:b/>
          <w:bCs/>
          <w:sz w:val="32"/>
          <w:szCs w:val="32"/>
        </w:rPr>
        <w:t>（三）一般公共预算财政拨款支出决算具体情况</w:t>
      </w:r>
      <w:bookmarkEnd w:id="43"/>
    </w:p>
    <w:p>
      <w:pPr>
        <w:spacing w:line="600" w:lineRule="exact"/>
        <w:ind w:firstLine="640" w:firstLineChars="200"/>
        <w:outlineLvl w:val="2"/>
        <w:rPr>
          <w:rStyle w:val="19"/>
          <w:rFonts w:ascii="仿宋_GB2312" w:eastAsia="仿宋_GB2312"/>
          <w:b w:val="0"/>
          <w:bCs/>
          <w:sz w:val="32"/>
          <w:szCs w:val="32"/>
        </w:rPr>
      </w:pPr>
      <w:bookmarkStart w:id="44" w:name="_Toc15377213"/>
      <w:bookmarkStart w:id="45" w:name="_Toc15377444"/>
      <w:bookmarkStart w:id="46" w:name="_Toc15378460"/>
      <w:r>
        <w:rPr>
          <w:rStyle w:val="19"/>
          <w:rFonts w:hint="eastAsia" w:ascii="仿宋_GB2312" w:eastAsia="仿宋_GB2312"/>
          <w:b w:val="0"/>
          <w:bCs/>
          <w:sz w:val="32"/>
          <w:szCs w:val="32"/>
        </w:rPr>
        <w:t>2021年一般公共预算支出决算数为548.92，完成预算100</w:t>
      </w:r>
      <w:r>
        <w:rPr>
          <w:rStyle w:val="19"/>
          <w:rFonts w:ascii="仿宋_GB2312" w:eastAsia="仿宋_GB2312"/>
          <w:b w:val="0"/>
          <w:bCs/>
          <w:sz w:val="32"/>
          <w:szCs w:val="32"/>
        </w:rPr>
        <w:t>%</w:t>
      </w:r>
      <w:r>
        <w:rPr>
          <w:rStyle w:val="19"/>
          <w:rFonts w:hint="eastAsia" w:ascii="仿宋_GB2312" w:eastAsia="仿宋_GB2312"/>
          <w:b w:val="0"/>
          <w:bCs/>
          <w:sz w:val="32"/>
          <w:szCs w:val="32"/>
        </w:rPr>
        <w:t>。其中：</w:t>
      </w:r>
      <w:bookmarkEnd w:id="44"/>
      <w:bookmarkEnd w:id="45"/>
      <w:bookmarkEnd w:id="46"/>
    </w:p>
    <w:p>
      <w:pPr>
        <w:spacing w:line="600" w:lineRule="exact"/>
        <w:ind w:firstLine="642" w:firstLineChars="200"/>
        <w:jc w:val="left"/>
        <w:rPr>
          <w:rStyle w:val="19"/>
          <w:rFonts w:ascii="仿宋_GB2312" w:eastAsia="仿宋_GB2312"/>
          <w:b w:val="0"/>
          <w:bCs/>
          <w:sz w:val="32"/>
          <w:szCs w:val="32"/>
        </w:rPr>
      </w:pPr>
      <w:r>
        <w:rPr>
          <w:rStyle w:val="19"/>
          <w:rFonts w:hint="eastAsia" w:ascii="仿宋_GB2312" w:eastAsia="仿宋_GB2312"/>
          <w:bCs/>
          <w:sz w:val="32"/>
          <w:szCs w:val="32"/>
        </w:rPr>
        <w:t>1.一般公共服务（201）</w:t>
      </w:r>
      <w:r>
        <w:rPr>
          <w:rStyle w:val="19"/>
          <w:rFonts w:hint="eastAsia" w:ascii="仿宋_GB2312" w:eastAsia="仿宋_GB2312"/>
          <w:b w:val="0"/>
          <w:bCs/>
          <w:sz w:val="32"/>
          <w:szCs w:val="32"/>
        </w:rPr>
        <w:t>群众团体事务（20129）行政运行（2012901）</w:t>
      </w:r>
      <w:r>
        <w:rPr>
          <w:rStyle w:val="19"/>
          <w:rFonts w:ascii="仿宋_GB2312" w:eastAsia="仿宋_GB2312"/>
          <w:b w:val="0"/>
          <w:bCs/>
          <w:sz w:val="32"/>
          <w:szCs w:val="32"/>
        </w:rPr>
        <w:t>:</w:t>
      </w:r>
      <w:r>
        <w:rPr>
          <w:rStyle w:val="19"/>
          <w:rFonts w:hint="eastAsia" w:ascii="仿宋_GB2312" w:eastAsia="仿宋_GB2312"/>
          <w:b w:val="0"/>
          <w:bCs/>
          <w:sz w:val="32"/>
          <w:szCs w:val="32"/>
        </w:rPr>
        <w:t>支出决算为366.35万元，完成预算100</w:t>
      </w:r>
      <w:r>
        <w:rPr>
          <w:rStyle w:val="19"/>
          <w:rFonts w:ascii="仿宋_GB2312" w:eastAsia="仿宋_GB2312"/>
          <w:b w:val="0"/>
          <w:bCs/>
          <w:sz w:val="32"/>
          <w:szCs w:val="32"/>
        </w:rPr>
        <w:t>%</w:t>
      </w:r>
      <w:r>
        <w:rPr>
          <w:rStyle w:val="19"/>
          <w:rFonts w:hint="eastAsia" w:ascii="仿宋_GB2312" w:eastAsia="仿宋_GB2312"/>
          <w:b w:val="0"/>
          <w:bCs/>
          <w:sz w:val="32"/>
          <w:szCs w:val="32"/>
        </w:rPr>
        <w:t>，决算数与预算数持平。</w:t>
      </w:r>
    </w:p>
    <w:p>
      <w:pPr>
        <w:pStyle w:val="5"/>
        <w:spacing w:before="93"/>
        <w:ind w:firstLine="642" w:firstLineChars="200"/>
        <w:rPr>
          <w:rStyle w:val="19"/>
          <w:b w:val="0"/>
          <w:bCs/>
          <w:kern w:val="2"/>
          <w:sz w:val="32"/>
          <w:szCs w:val="32"/>
        </w:rPr>
      </w:pPr>
      <w:r>
        <w:rPr>
          <w:rStyle w:val="19"/>
          <w:rFonts w:hint="eastAsia"/>
          <w:bCs/>
          <w:kern w:val="2"/>
          <w:sz w:val="32"/>
          <w:szCs w:val="32"/>
        </w:rPr>
        <w:t>2．一般公共服务（201）</w:t>
      </w:r>
      <w:r>
        <w:rPr>
          <w:rStyle w:val="19"/>
          <w:rFonts w:hint="eastAsia"/>
          <w:b w:val="0"/>
          <w:bCs/>
          <w:kern w:val="2"/>
          <w:sz w:val="32"/>
          <w:szCs w:val="32"/>
        </w:rPr>
        <w:t>群团事务（29）一般行政管理事务（02）：支出决算为165.61万元，完成预算100</w:t>
      </w:r>
      <w:r>
        <w:rPr>
          <w:rStyle w:val="19"/>
          <w:b w:val="0"/>
          <w:bCs/>
          <w:kern w:val="2"/>
          <w:sz w:val="32"/>
          <w:szCs w:val="32"/>
        </w:rPr>
        <w:t>%</w:t>
      </w:r>
      <w:r>
        <w:rPr>
          <w:rStyle w:val="19"/>
          <w:rFonts w:hint="eastAsia"/>
          <w:b w:val="0"/>
          <w:bCs/>
          <w:kern w:val="2"/>
          <w:sz w:val="32"/>
          <w:szCs w:val="32"/>
        </w:rPr>
        <w:t>，决算数与预算数持平。</w:t>
      </w:r>
    </w:p>
    <w:p>
      <w:pPr>
        <w:ind w:firstLine="642" w:firstLineChars="200"/>
        <w:rPr>
          <w:rStyle w:val="19"/>
          <w:rFonts w:ascii="仿宋_GB2312" w:eastAsia="仿宋_GB2312"/>
          <w:b w:val="0"/>
          <w:bCs/>
          <w:sz w:val="32"/>
          <w:szCs w:val="32"/>
        </w:rPr>
      </w:pPr>
      <w:r>
        <w:rPr>
          <w:rStyle w:val="19"/>
          <w:rFonts w:hint="eastAsia" w:ascii="仿宋_GB2312" w:eastAsia="仿宋_GB2312"/>
          <w:bCs/>
          <w:sz w:val="32"/>
          <w:szCs w:val="32"/>
        </w:rPr>
        <w:t>3．一般公共服务（201）</w:t>
      </w:r>
      <w:r>
        <w:rPr>
          <w:rStyle w:val="19"/>
          <w:rFonts w:hint="eastAsia" w:ascii="仿宋_GB2312" w:eastAsia="仿宋_GB2312"/>
          <w:b w:val="0"/>
          <w:bCs/>
          <w:sz w:val="32"/>
          <w:szCs w:val="32"/>
        </w:rPr>
        <w:t>群团事务（29）其他群众团体事务支出（99）：支出决算为11万元，完成预算100</w:t>
      </w:r>
      <w:r>
        <w:rPr>
          <w:rStyle w:val="19"/>
          <w:rFonts w:ascii="仿宋_GB2312" w:eastAsia="仿宋_GB2312"/>
          <w:b w:val="0"/>
          <w:bCs/>
          <w:sz w:val="32"/>
          <w:szCs w:val="32"/>
        </w:rPr>
        <w:t>%</w:t>
      </w:r>
      <w:r>
        <w:rPr>
          <w:rStyle w:val="19"/>
          <w:rFonts w:hint="eastAsia" w:ascii="仿宋_GB2312" w:eastAsia="仿宋_GB2312"/>
          <w:b w:val="0"/>
          <w:bCs/>
          <w:sz w:val="32"/>
          <w:szCs w:val="32"/>
        </w:rPr>
        <w:t>，决算数与预算数持平。</w:t>
      </w:r>
    </w:p>
    <w:p>
      <w:pPr>
        <w:pStyle w:val="5"/>
        <w:spacing w:before="93"/>
        <w:ind w:firstLine="642" w:firstLineChars="200"/>
        <w:jc w:val="left"/>
        <w:rPr>
          <w:rStyle w:val="19"/>
          <w:b w:val="0"/>
          <w:bCs/>
          <w:kern w:val="2"/>
          <w:sz w:val="32"/>
          <w:szCs w:val="32"/>
        </w:rPr>
      </w:pPr>
      <w:r>
        <w:rPr>
          <w:rStyle w:val="19"/>
          <w:rFonts w:hint="eastAsia"/>
          <w:bCs/>
          <w:kern w:val="2"/>
          <w:sz w:val="32"/>
          <w:szCs w:val="32"/>
        </w:rPr>
        <w:t>4</w:t>
      </w:r>
      <w:r>
        <w:rPr>
          <w:rStyle w:val="19"/>
          <w:bCs/>
          <w:kern w:val="2"/>
          <w:sz w:val="32"/>
          <w:szCs w:val="32"/>
        </w:rPr>
        <w:t>.</w:t>
      </w:r>
      <w:r>
        <w:rPr>
          <w:rStyle w:val="19"/>
          <w:rFonts w:hint="eastAsia"/>
          <w:bCs/>
          <w:kern w:val="2"/>
          <w:sz w:val="32"/>
          <w:szCs w:val="32"/>
        </w:rPr>
        <w:t>社会保障和就业支出（208）</w:t>
      </w:r>
      <w:r>
        <w:rPr>
          <w:rStyle w:val="19"/>
          <w:rFonts w:hint="eastAsia"/>
          <w:b w:val="0"/>
          <w:bCs/>
          <w:kern w:val="2"/>
          <w:sz w:val="32"/>
          <w:szCs w:val="32"/>
        </w:rPr>
        <w:t>行政事业单位离退休（05）机关事业单位基本养老保险缴费支出（05）:支出决算为20.96万元，完成预算100</w:t>
      </w:r>
      <w:r>
        <w:rPr>
          <w:rStyle w:val="19"/>
          <w:b w:val="0"/>
          <w:bCs/>
          <w:kern w:val="2"/>
          <w:sz w:val="32"/>
          <w:szCs w:val="32"/>
        </w:rPr>
        <w:t>%</w:t>
      </w:r>
      <w:r>
        <w:rPr>
          <w:rStyle w:val="19"/>
          <w:rFonts w:hint="eastAsia"/>
          <w:b w:val="0"/>
          <w:bCs/>
          <w:kern w:val="2"/>
          <w:sz w:val="32"/>
          <w:szCs w:val="32"/>
        </w:rPr>
        <w:t>，决算数与预算数持平。</w:t>
      </w:r>
    </w:p>
    <w:p>
      <w:pPr>
        <w:ind w:firstLine="642" w:firstLineChars="200"/>
        <w:rPr>
          <w:rStyle w:val="19"/>
          <w:rFonts w:ascii="仿宋_GB2312" w:eastAsia="仿宋_GB2312"/>
          <w:b w:val="0"/>
          <w:bCs/>
          <w:sz w:val="32"/>
          <w:szCs w:val="32"/>
        </w:rPr>
      </w:pPr>
      <w:r>
        <w:rPr>
          <w:rStyle w:val="19"/>
          <w:rFonts w:hint="eastAsia" w:ascii="仿宋_GB2312" w:eastAsia="仿宋_GB2312"/>
          <w:bCs/>
          <w:sz w:val="32"/>
          <w:szCs w:val="32"/>
        </w:rPr>
        <w:t>5.社会保障和就业支出（208）</w:t>
      </w:r>
      <w:r>
        <w:rPr>
          <w:rStyle w:val="19"/>
          <w:rFonts w:hint="eastAsia" w:ascii="仿宋_GB2312" w:eastAsia="仿宋_GB2312"/>
          <w:b w:val="0"/>
          <w:bCs/>
          <w:sz w:val="32"/>
          <w:szCs w:val="32"/>
        </w:rPr>
        <w:t>行政事业单位离退休（05）机关事业单位职业年金缴费支出（06）：支出决算为10.25万元，完成预算69.35</w:t>
      </w:r>
      <w:r>
        <w:rPr>
          <w:rStyle w:val="19"/>
          <w:rFonts w:ascii="仿宋_GB2312" w:eastAsia="仿宋_GB2312"/>
          <w:b w:val="0"/>
          <w:bCs/>
          <w:sz w:val="32"/>
          <w:szCs w:val="32"/>
        </w:rPr>
        <w:t>%</w:t>
      </w:r>
      <w:r>
        <w:rPr>
          <w:rStyle w:val="19"/>
          <w:rFonts w:hint="eastAsia" w:ascii="仿宋_GB2312" w:eastAsia="仿宋_GB2312"/>
          <w:b w:val="0"/>
          <w:bCs/>
          <w:sz w:val="32"/>
          <w:szCs w:val="32"/>
        </w:rPr>
        <w:t>，决算数小于预算数的主要原因是：人员调动（年初按14人在职编制进行编制预算，因调出2名人员，导致人员经费预算偏高）。</w:t>
      </w:r>
    </w:p>
    <w:p>
      <w:pPr>
        <w:ind w:firstLine="642" w:firstLineChars="200"/>
        <w:rPr>
          <w:rStyle w:val="19"/>
          <w:rFonts w:ascii="仿宋_GB2312" w:eastAsia="仿宋_GB2312"/>
          <w:b w:val="0"/>
          <w:bCs/>
          <w:sz w:val="32"/>
          <w:szCs w:val="32"/>
        </w:rPr>
      </w:pPr>
      <w:r>
        <w:rPr>
          <w:rStyle w:val="19"/>
          <w:rFonts w:hint="eastAsia" w:ascii="仿宋_GB2312" w:eastAsia="仿宋_GB2312"/>
          <w:bCs/>
          <w:sz w:val="32"/>
          <w:szCs w:val="32"/>
        </w:rPr>
        <w:t>6</w:t>
      </w:r>
      <w:r>
        <w:rPr>
          <w:rStyle w:val="19"/>
          <w:rFonts w:ascii="仿宋_GB2312" w:eastAsia="仿宋_GB2312"/>
          <w:bCs/>
          <w:sz w:val="32"/>
          <w:szCs w:val="32"/>
        </w:rPr>
        <w:t>.</w:t>
      </w:r>
      <w:r>
        <w:rPr>
          <w:rStyle w:val="19"/>
          <w:rFonts w:hint="eastAsia" w:ascii="仿宋_GB2312" w:eastAsia="仿宋_GB2312"/>
          <w:bCs/>
          <w:sz w:val="32"/>
          <w:szCs w:val="32"/>
        </w:rPr>
        <w:t>卫生健康支出（210）</w:t>
      </w:r>
      <w:r>
        <w:rPr>
          <w:rStyle w:val="19"/>
          <w:rFonts w:hint="eastAsia" w:ascii="仿宋_GB2312" w:eastAsia="仿宋_GB2312"/>
          <w:b w:val="0"/>
          <w:bCs/>
          <w:sz w:val="32"/>
          <w:szCs w:val="32"/>
        </w:rPr>
        <w:t>行政事业单位医疗（11）行政单位医疗（01）</w:t>
      </w:r>
      <w:r>
        <w:rPr>
          <w:rStyle w:val="19"/>
          <w:rFonts w:ascii="仿宋_GB2312" w:eastAsia="仿宋_GB2312"/>
          <w:b w:val="0"/>
          <w:bCs/>
          <w:sz w:val="32"/>
          <w:szCs w:val="32"/>
        </w:rPr>
        <w:t>:</w:t>
      </w:r>
      <w:r>
        <w:rPr>
          <w:rStyle w:val="19"/>
          <w:rFonts w:hint="eastAsia" w:ascii="仿宋_GB2312" w:eastAsia="仿宋_GB2312"/>
          <w:b w:val="0"/>
          <w:bCs/>
          <w:sz w:val="32"/>
          <w:szCs w:val="32"/>
        </w:rPr>
        <w:t>支出决算为10.73万元，完成预算98.44</w:t>
      </w:r>
      <w:r>
        <w:rPr>
          <w:rStyle w:val="19"/>
          <w:rFonts w:ascii="仿宋_GB2312" w:eastAsia="仿宋_GB2312"/>
          <w:b w:val="0"/>
          <w:bCs/>
          <w:sz w:val="32"/>
          <w:szCs w:val="32"/>
        </w:rPr>
        <w:t>%</w:t>
      </w:r>
      <w:r>
        <w:rPr>
          <w:rStyle w:val="19"/>
          <w:rFonts w:hint="eastAsia" w:ascii="仿宋_GB2312" w:eastAsia="仿宋_GB2312"/>
          <w:b w:val="0"/>
          <w:bCs/>
          <w:sz w:val="32"/>
          <w:szCs w:val="32"/>
        </w:rPr>
        <w:t>，决算数小于预算数的主要原因是：人员调动（年初按14人在职编制进行编制预算，因调出2名人员，导致人员经费预算偏高）。</w:t>
      </w:r>
    </w:p>
    <w:p>
      <w:pPr>
        <w:ind w:firstLine="642" w:firstLineChars="200"/>
        <w:rPr>
          <w:rStyle w:val="19"/>
          <w:rFonts w:ascii="仿宋_GB2312" w:eastAsia="仿宋_GB2312"/>
          <w:b w:val="0"/>
          <w:bCs/>
          <w:sz w:val="32"/>
          <w:szCs w:val="32"/>
        </w:rPr>
      </w:pPr>
      <w:r>
        <w:rPr>
          <w:rStyle w:val="19"/>
          <w:rFonts w:hint="eastAsia" w:ascii="仿宋_GB2312" w:eastAsia="仿宋_GB2312"/>
          <w:bCs/>
          <w:sz w:val="32"/>
          <w:szCs w:val="32"/>
        </w:rPr>
        <w:t>7.卫生健康支出（210）</w:t>
      </w:r>
      <w:r>
        <w:rPr>
          <w:rStyle w:val="19"/>
          <w:rFonts w:hint="eastAsia" w:ascii="仿宋_GB2312" w:eastAsia="仿宋_GB2312"/>
          <w:b w:val="0"/>
          <w:bCs/>
          <w:sz w:val="32"/>
          <w:szCs w:val="32"/>
        </w:rPr>
        <w:t>行政事业单位医疗（11）公务员医疗补助（03）：支出决算为3.41万元，完成预算93.42</w:t>
      </w:r>
      <w:r>
        <w:rPr>
          <w:rStyle w:val="19"/>
          <w:rFonts w:ascii="仿宋_GB2312" w:eastAsia="仿宋_GB2312"/>
          <w:b w:val="0"/>
          <w:bCs/>
          <w:sz w:val="32"/>
          <w:szCs w:val="32"/>
        </w:rPr>
        <w:t>%</w:t>
      </w:r>
      <w:r>
        <w:rPr>
          <w:rStyle w:val="19"/>
          <w:rFonts w:hint="eastAsia" w:ascii="仿宋_GB2312" w:eastAsia="仿宋_GB2312"/>
          <w:b w:val="0"/>
          <w:bCs/>
          <w:sz w:val="32"/>
          <w:szCs w:val="32"/>
        </w:rPr>
        <w:t>，决算数小于预算数的主要原因是：人员调动（年初按14人在职编制进行编制预算，因调出2名人员，导致人员经费预算偏高）。</w:t>
      </w:r>
    </w:p>
    <w:p>
      <w:pPr>
        <w:ind w:firstLine="642" w:firstLineChars="200"/>
        <w:rPr>
          <w:rStyle w:val="19"/>
          <w:rFonts w:ascii="仿宋_GB2312" w:eastAsia="仿宋_GB2312"/>
          <w:b w:val="0"/>
          <w:bCs/>
          <w:sz w:val="32"/>
          <w:szCs w:val="32"/>
        </w:rPr>
      </w:pPr>
      <w:r>
        <w:rPr>
          <w:rStyle w:val="19"/>
          <w:rFonts w:hint="eastAsia" w:ascii="仿宋_GB2312" w:eastAsia="仿宋_GB2312"/>
          <w:bCs/>
          <w:sz w:val="32"/>
          <w:szCs w:val="32"/>
        </w:rPr>
        <w:t>8.住房保障支出（221）</w:t>
      </w:r>
      <w:r>
        <w:rPr>
          <w:rStyle w:val="19"/>
          <w:rFonts w:hint="eastAsia" w:ascii="仿宋_GB2312" w:eastAsia="仿宋_GB2312"/>
          <w:b w:val="0"/>
          <w:bCs/>
          <w:sz w:val="32"/>
          <w:szCs w:val="32"/>
        </w:rPr>
        <w:t>住房改革支出（02）住房公积金（01）：支出决算为20.60万元，完成预算70.24</w:t>
      </w:r>
      <w:r>
        <w:rPr>
          <w:rStyle w:val="19"/>
          <w:rFonts w:ascii="仿宋_GB2312" w:eastAsia="仿宋_GB2312"/>
          <w:b w:val="0"/>
          <w:bCs/>
          <w:sz w:val="32"/>
          <w:szCs w:val="32"/>
        </w:rPr>
        <w:t>%</w:t>
      </w:r>
      <w:r>
        <w:rPr>
          <w:rStyle w:val="19"/>
          <w:rFonts w:hint="eastAsia" w:ascii="仿宋_GB2312" w:eastAsia="仿宋_GB2312"/>
          <w:b w:val="0"/>
          <w:bCs/>
          <w:sz w:val="32"/>
          <w:szCs w:val="32"/>
        </w:rPr>
        <w:t>，决算数小于预算数的主要原因是：人员调动（年初按14人在职编制进行编制预算，因调出2名人员，导致人员经费预算偏高）。</w:t>
      </w:r>
    </w:p>
    <w:p>
      <w:pPr>
        <w:tabs>
          <w:tab w:val="right" w:pos="8306"/>
        </w:tabs>
        <w:spacing w:line="600" w:lineRule="exact"/>
        <w:ind w:firstLine="640" w:firstLineChars="200"/>
        <w:outlineLvl w:val="1"/>
        <w:rPr>
          <w:rStyle w:val="19"/>
          <w:rFonts w:ascii="黑体" w:hAnsi="黑体" w:eastAsia="黑体"/>
          <w:b w:val="0"/>
          <w:sz w:val="32"/>
          <w:szCs w:val="32"/>
        </w:rPr>
      </w:pPr>
      <w:bookmarkStart w:id="47" w:name="_Toc15396608"/>
      <w:bookmarkStart w:id="48" w:name="_Toc15377214"/>
      <w:r>
        <w:rPr>
          <w:rStyle w:val="19"/>
          <w:rFonts w:hint="eastAsia" w:ascii="黑体" w:hAnsi="黑体" w:eastAsia="黑体"/>
          <w:b w:val="0"/>
          <w:bCs/>
          <w:sz w:val="32"/>
          <w:szCs w:val="32"/>
        </w:rPr>
        <w:t>六、一</w:t>
      </w:r>
      <w:r>
        <w:rPr>
          <w:rStyle w:val="19"/>
          <w:rFonts w:hint="eastAsia" w:ascii="黑体" w:hAnsi="黑体" w:eastAsia="黑体"/>
          <w:b w:val="0"/>
          <w:sz w:val="32"/>
          <w:szCs w:val="32"/>
        </w:rPr>
        <w:t>般公共预算财政拨款基本支出决算情况说明</w:t>
      </w:r>
      <w:bookmarkEnd w:id="47"/>
      <w:bookmarkEnd w:id="48"/>
      <w:r>
        <w:rPr>
          <w:rStyle w:val="19"/>
          <w:rFonts w:ascii="黑体" w:hAnsi="黑体" w:eastAsia="黑体"/>
          <w:b w:val="0"/>
          <w:sz w:val="32"/>
          <w:szCs w:val="32"/>
        </w:rPr>
        <w:tab/>
      </w:r>
    </w:p>
    <w:p>
      <w:pPr>
        <w:spacing w:line="600" w:lineRule="exact"/>
        <w:ind w:firstLine="640" w:firstLineChars="200"/>
        <w:rPr>
          <w:rStyle w:val="19"/>
          <w:rFonts w:ascii="仿宋_GB2312" w:eastAsia="仿宋_GB2312"/>
          <w:b w:val="0"/>
          <w:bCs/>
          <w:sz w:val="32"/>
          <w:szCs w:val="32"/>
        </w:rPr>
      </w:pPr>
      <w:r>
        <w:rPr>
          <w:rStyle w:val="19"/>
          <w:rFonts w:ascii="仿宋_GB2312" w:eastAsia="仿宋_GB2312"/>
          <w:b w:val="0"/>
          <w:bCs/>
          <w:sz w:val="32"/>
          <w:szCs w:val="32"/>
        </w:rPr>
        <w:t>20</w:t>
      </w:r>
      <w:r>
        <w:rPr>
          <w:rStyle w:val="19"/>
          <w:rFonts w:hint="eastAsia" w:ascii="仿宋_GB2312" w:eastAsia="仿宋_GB2312"/>
          <w:b w:val="0"/>
          <w:bCs/>
          <w:sz w:val="32"/>
          <w:szCs w:val="32"/>
        </w:rPr>
        <w:t>21年一般公共预算财政拨款基本支出432.32万元，其中：</w:t>
      </w:r>
    </w:p>
    <w:p>
      <w:pPr>
        <w:spacing w:line="600" w:lineRule="exact"/>
        <w:ind w:firstLine="640" w:firstLineChars="200"/>
        <w:rPr>
          <w:rStyle w:val="19"/>
          <w:rFonts w:ascii="仿宋_GB2312" w:eastAsia="仿宋_GB2312"/>
          <w:b w:val="0"/>
          <w:bCs/>
          <w:sz w:val="32"/>
          <w:szCs w:val="32"/>
        </w:rPr>
      </w:pPr>
      <w:r>
        <w:rPr>
          <w:rStyle w:val="19"/>
          <w:rFonts w:hint="eastAsia" w:ascii="仿宋_GB2312" w:eastAsia="仿宋_GB2312"/>
          <w:b w:val="0"/>
          <w:bCs/>
          <w:sz w:val="32"/>
          <w:szCs w:val="32"/>
        </w:rPr>
        <w:t>人员经费327.20万元，主要包括：基本工资57.19万元、津贴补贴147.02万元、奖金4.57万元、伙食补助费0元、绩效工资0元、机关事业单位基本养老保险缴费20.96万元、职业年金缴费10.25万元、职工基本医疗保险缴费10.73万元、公务员医疗补助缴费3.41万元、其他社会保障缴费2.13万元、住房公积金20.60万元、医疗费0万元、其他工资福利支出32.71万元、离休费0万元、退休费0万元、退职（役）费0万元、抚恤金0万元、生活补助40.55万元、救济费0万元、医疗费补助0万元、助学金0万元、奖励金0万元、个人农业生产补贴0万元、代缴社会保险费0万元、其他个人和家庭的补助支出0万元。</w:t>
      </w:r>
    </w:p>
    <w:p>
      <w:pPr>
        <w:spacing w:line="600" w:lineRule="exact"/>
        <w:ind w:firstLine="640" w:firstLineChars="200"/>
        <w:rPr>
          <w:rStyle w:val="19"/>
          <w:rFonts w:ascii="仿宋_GB2312" w:eastAsia="仿宋_GB2312"/>
          <w:b w:val="0"/>
          <w:bCs/>
          <w:sz w:val="32"/>
          <w:szCs w:val="32"/>
        </w:rPr>
      </w:pPr>
      <w:r>
        <w:rPr>
          <w:rStyle w:val="19"/>
          <w:rFonts w:hint="eastAsia" w:ascii="仿宋_GB2312" w:eastAsia="仿宋_GB2312"/>
          <w:b w:val="0"/>
          <w:bCs/>
          <w:sz w:val="32"/>
          <w:szCs w:val="32"/>
        </w:rPr>
        <w:t>公用经费105.12万元，主要包括：办公费16.60万元、印刷费3.09万元、咨询费0万元、手续费0.08万元、水费0万元、电费1.88万元、邮电费6.05万元、取暖费0万元、物业管理费0万元、差旅费12.99万元、因公出国（境）费用0万元、维修（护）费1.76万元、租赁费0.19万元、会议费26.73万元、培训费0.42万元、公务接待费0.23万元、专用材料费、被装购置费、专用燃料费、劳务费3.07万元、委托业务费0万元、工会经费0万元、福利费1.84万元、公务用车运行维护费18.6万元、其他交通费0万元、税金及附加费用0万元、其他商品和服务支出11.58万元、办公设备购置0万元、专用设备购置0万元、信息网络及软件购置更新0万元、其他资本性支出0万元等。</w:t>
      </w:r>
    </w:p>
    <w:p>
      <w:pPr>
        <w:spacing w:line="600" w:lineRule="exact"/>
        <w:ind w:firstLine="640" w:firstLineChars="200"/>
        <w:outlineLvl w:val="1"/>
        <w:rPr>
          <w:rStyle w:val="23"/>
          <w:rFonts w:ascii="黑体" w:eastAsia="黑体"/>
          <w:b w:val="0"/>
        </w:rPr>
      </w:pPr>
      <w:bookmarkStart w:id="49" w:name="_Toc15396609"/>
      <w:bookmarkStart w:id="50" w:name="_Toc15377215"/>
      <w:r>
        <w:rPr>
          <w:rFonts w:hint="eastAsia" w:ascii="黑体" w:eastAsia="黑体"/>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49"/>
      <w:bookmarkEnd w:id="50"/>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51" w:name="_Toc15377216"/>
      <w:r>
        <w:rPr>
          <w:rFonts w:hint="eastAsia" w:ascii="楷体_GB2312" w:eastAsia="楷体_GB2312"/>
          <w:b/>
          <w:bCs/>
          <w:sz w:val="32"/>
          <w:szCs w:val="32"/>
        </w:rPr>
        <w:t>（一）“三公”经费财政拨款支出决算总体情况说明</w:t>
      </w:r>
      <w:bookmarkEnd w:id="51"/>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21年“三公”经费财政拨款支出决算为23.01万元，完成预算100</w:t>
      </w:r>
      <w:r>
        <w:rPr>
          <w:rFonts w:ascii="仿宋" w:eastAsia="仿宋"/>
          <w:sz w:val="32"/>
          <w:szCs w:val="32"/>
        </w:rPr>
        <w:t>%</w:t>
      </w:r>
      <w:r>
        <w:rPr>
          <w:rFonts w:hint="eastAsia" w:ascii="仿宋" w:eastAsia="仿宋"/>
          <w:sz w:val="32"/>
          <w:szCs w:val="32"/>
        </w:rPr>
        <w:t>，决算数与预算数持平。</w:t>
      </w:r>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52" w:name="_Toc15377217"/>
      <w:r>
        <w:rPr>
          <w:rFonts w:hint="eastAsia" w:ascii="楷体_GB2312" w:eastAsia="楷体_GB2312"/>
          <w:b/>
          <w:bCs/>
          <w:sz w:val="32"/>
          <w:szCs w:val="32"/>
        </w:rPr>
        <w:t>（二）“三公”经费财政拨款支出决算具体情况说明</w:t>
      </w:r>
      <w:bookmarkEnd w:id="5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21年“三公”经费财政拨款支出决算中，因公出国（境）费支出决算0万元，占0</w:t>
      </w:r>
      <w:r>
        <w:rPr>
          <w:rFonts w:ascii="仿宋_GB2312" w:eastAsia="仿宋_GB2312"/>
          <w:sz w:val="32"/>
          <w:szCs w:val="32"/>
        </w:rPr>
        <w:t>%</w:t>
      </w:r>
      <w:r>
        <w:rPr>
          <w:rFonts w:hint="eastAsia" w:ascii="仿宋_GB2312" w:eastAsia="仿宋_GB2312"/>
          <w:sz w:val="32"/>
          <w:szCs w:val="32"/>
        </w:rPr>
        <w:t>；公务用车购置及运行维护费支出决算22.78万元，占99.00</w:t>
      </w:r>
      <w:r>
        <w:rPr>
          <w:rFonts w:ascii="仿宋_GB2312" w:eastAsia="仿宋_GB2312"/>
          <w:sz w:val="32"/>
          <w:szCs w:val="32"/>
        </w:rPr>
        <w:t>%</w:t>
      </w:r>
      <w:r>
        <w:rPr>
          <w:rFonts w:hint="eastAsia" w:ascii="仿宋_GB2312" w:eastAsia="仿宋_GB2312"/>
          <w:sz w:val="32"/>
          <w:szCs w:val="32"/>
        </w:rPr>
        <w:t>；公务接待费支出决算0.23万元，占1.00</w:t>
      </w:r>
      <w:r>
        <w:rPr>
          <w:rFonts w:ascii="仿宋_GB2312" w:eastAsia="仿宋_GB2312"/>
          <w:sz w:val="32"/>
          <w:szCs w:val="32"/>
        </w:rPr>
        <w:t>%</w:t>
      </w:r>
      <w:r>
        <w:rPr>
          <w:rFonts w:hint="eastAsia" w:ascii="仿宋_GB2312" w:eastAsia="仿宋_GB2312"/>
          <w:sz w:val="32"/>
          <w:szCs w:val="32"/>
        </w:rPr>
        <w:t>。具体情况如下：</w:t>
      </w:r>
    </w:p>
    <w:p>
      <w:pPr>
        <w:spacing w:line="600" w:lineRule="exact"/>
        <w:ind w:firstLine="640" w:firstLineChars="200"/>
        <w:jc w:val="center"/>
        <w:rPr>
          <w:rFonts w:ascii="仿宋" w:eastAsia="仿宋"/>
          <w:sz w:val="32"/>
          <w:szCs w:val="32"/>
        </w:rPr>
      </w:pPr>
      <w:r>
        <w:rPr>
          <w:rFonts w:hint="eastAsia" w:ascii="仿宋" w:eastAsia="仿宋"/>
          <w:sz w:val="32"/>
          <w:szCs w:val="32"/>
        </w:rPr>
        <w:drawing>
          <wp:anchor distT="0" distB="0" distL="0" distR="0" simplePos="0" relativeHeight="251665408" behindDoc="0" locked="0" layoutInCell="1" allowOverlap="1">
            <wp:simplePos x="0" y="0"/>
            <wp:positionH relativeFrom="column">
              <wp:posOffset>648970</wp:posOffset>
            </wp:positionH>
            <wp:positionV relativeFrom="paragraph">
              <wp:posOffset>79375</wp:posOffset>
            </wp:positionV>
            <wp:extent cx="4227830" cy="2451735"/>
            <wp:effectExtent l="19050" t="0" r="20320" b="5715"/>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sz w:val="32"/>
          <w:szCs w:val="32"/>
        </w:rPr>
        <w:t>（图7：“三公”经费财政拨款支出结构）</w:t>
      </w:r>
    </w:p>
    <w:p>
      <w:pPr>
        <w:spacing w:line="600" w:lineRule="exact"/>
        <w:ind w:firstLine="642" w:firstLineChars="20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9"/>
          <w:rFonts w:hint="eastAsia" w:ascii="仿宋" w:eastAsia="仿宋"/>
          <w:b w:val="0"/>
          <w:bCs/>
          <w:sz w:val="32"/>
          <w:szCs w:val="32"/>
        </w:rPr>
        <w:t>完成预算0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w:t>
      </w:r>
      <w:r>
        <w:rPr>
          <w:rFonts w:ascii="仿宋_GB2312" w:eastAsia="仿宋_GB2312"/>
          <w:sz w:val="32"/>
          <w:szCs w:val="32"/>
        </w:rPr>
        <w:t>20</w:t>
      </w:r>
      <w:r>
        <w:rPr>
          <w:rFonts w:hint="eastAsia" w:ascii="仿宋_GB2312" w:eastAsia="仿宋_GB2312"/>
          <w:sz w:val="32"/>
          <w:szCs w:val="32"/>
        </w:rPr>
        <w:t>20年增加0万元，增长0</w:t>
      </w:r>
      <w:r>
        <w:rPr>
          <w:rFonts w:ascii="仿宋_GB2312" w:eastAsia="仿宋_GB2312"/>
          <w:sz w:val="32"/>
          <w:szCs w:val="32"/>
        </w:rPr>
        <w:t>%</w:t>
      </w:r>
      <w:r>
        <w:rPr>
          <w:rFonts w:hint="eastAsia" w:ascii="仿宋_GB2312" w:eastAsia="仿宋_GB2312"/>
          <w:sz w:val="32"/>
          <w:szCs w:val="32"/>
        </w:rPr>
        <w:t>。主要原因是我会无因公出国（境）公务活动。</w:t>
      </w:r>
    </w:p>
    <w:p>
      <w:pPr>
        <w:spacing w:line="600" w:lineRule="exact"/>
        <w:ind w:firstLine="642"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22.78万元,</w:t>
      </w:r>
      <w:r>
        <w:rPr>
          <w:rStyle w:val="19"/>
          <w:rFonts w:hint="eastAsia" w:ascii="仿宋" w:eastAsia="仿宋"/>
          <w:b w:val="0"/>
          <w:bCs/>
          <w:sz w:val="32"/>
          <w:szCs w:val="32"/>
        </w:rPr>
        <w:t>完成预算100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20年增加11.11万元，增长95.20</w:t>
      </w:r>
      <w:r>
        <w:rPr>
          <w:rFonts w:ascii="仿宋_GB2312" w:eastAsia="仿宋_GB2312"/>
          <w:sz w:val="32"/>
          <w:szCs w:val="32"/>
        </w:rPr>
        <w:t>%</w:t>
      </w:r>
      <w:r>
        <w:rPr>
          <w:rFonts w:hint="eastAsia" w:ascii="仿宋_GB2312" w:eastAsia="仿宋_GB2312"/>
          <w:sz w:val="32"/>
          <w:szCs w:val="32"/>
        </w:rPr>
        <w:t>。主要原因是高速路开通，车辆过程较上年明显增加。公务接待费少0.61万元，主要原因为：厉行节约。</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其中：公务用车购置支出</w:t>
      </w:r>
      <w:r>
        <w:rPr>
          <w:rFonts w:hint="eastAsia" w:ascii="仿宋_GB2312" w:eastAsia="仿宋_GB2312"/>
          <w:b/>
          <w:sz w:val="32"/>
          <w:szCs w:val="32"/>
        </w:rPr>
        <w:t>0</w:t>
      </w:r>
      <w:r>
        <w:rPr>
          <w:rFonts w:hint="eastAsia" w:ascii="仿宋_GB2312" w:eastAsia="仿宋_GB2312"/>
          <w:sz w:val="32"/>
          <w:szCs w:val="32"/>
        </w:rPr>
        <w:t>万元。全年按规定更新购置公务用车0辆，其中：轿车0辆、金额0万元，越野车2辆、金额0万元，载客汽车0、金额0万元。截至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月底，单位共有公务用车2辆，其中：轿车0辆、越野车2辆、载客汽车0辆。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公务用车运行维护费支出22.78万元。主要用于公务活动所需的公务用车燃料费、维修费、过路过桥费、保险费等支出。</w:t>
      </w:r>
    </w:p>
    <w:p>
      <w:pPr>
        <w:spacing w:line="600" w:lineRule="exact"/>
        <w:ind w:firstLine="642" w:firstLineChars="20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国内公务接待支出0</w:t>
      </w:r>
      <w:r>
        <w:rPr>
          <w:rFonts w:hint="eastAsia" w:ascii="仿宋" w:eastAsia="仿宋"/>
          <w:sz w:val="32"/>
          <w:szCs w:val="32"/>
        </w:rPr>
        <w:t>.23</w:t>
      </w:r>
      <w:r>
        <w:rPr>
          <w:rFonts w:hint="eastAsia" w:ascii="仿宋_GB2312" w:eastAsia="仿宋_GB2312"/>
          <w:sz w:val="32"/>
          <w:szCs w:val="32"/>
        </w:rPr>
        <w:t>万元，主要用于开展业务活动开支住宿费、用餐费等。国内公务接待4批次，27人次（不包括陪同人员），共计支出0.23万元。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外事接待支出</w:t>
      </w:r>
      <w:r>
        <w:rPr>
          <w:rFonts w:hint="eastAsia" w:ascii="仿宋" w:eastAsia="仿宋"/>
          <w:sz w:val="32"/>
          <w:szCs w:val="32"/>
        </w:rPr>
        <w:t>0</w:t>
      </w:r>
      <w:r>
        <w:rPr>
          <w:rFonts w:hint="eastAsia" w:ascii="仿宋_GB2312" w:eastAsia="仿宋_GB2312"/>
          <w:sz w:val="32"/>
          <w:szCs w:val="32"/>
        </w:rPr>
        <w:t>万元，外事接待0批次，0人，共计支出0万元，我会不涉及外事接待支出。</w:t>
      </w:r>
      <w:bookmarkStart w:id="53" w:name="_Toc15377218"/>
      <w:bookmarkStart w:id="54" w:name="_Toc15396610"/>
    </w:p>
    <w:p>
      <w:pPr>
        <w:spacing w:line="600" w:lineRule="exact"/>
        <w:ind w:firstLine="640" w:firstLineChars="200"/>
        <w:outlineLvl w:val="1"/>
        <w:rPr>
          <w:rStyle w:val="23"/>
          <w:rFonts w:ascii="黑体" w:eastAsia="黑体"/>
        </w:rPr>
      </w:pPr>
      <w:r>
        <w:rPr>
          <w:rFonts w:hint="eastAsia" w:ascii="黑体" w:eastAsia="黑体"/>
          <w:sz w:val="32"/>
          <w:szCs w:val="32"/>
        </w:rPr>
        <w:t>八、</w:t>
      </w:r>
      <w:r>
        <w:rPr>
          <w:rStyle w:val="23"/>
          <w:rFonts w:hint="eastAsia" w:ascii="黑体" w:eastAsia="黑体"/>
          <w:b w:val="0"/>
        </w:rPr>
        <w:t>政府性基金预算支出决算情况说明</w:t>
      </w:r>
      <w:bookmarkEnd w:id="53"/>
      <w:bookmarkEnd w:id="54"/>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21年政府性基金预算财政拨款支出0万元。</w:t>
      </w:r>
    </w:p>
    <w:p>
      <w:pPr>
        <w:spacing w:line="600" w:lineRule="exact"/>
        <w:ind w:firstLine="566" w:firstLineChars="177"/>
        <w:outlineLvl w:val="1"/>
        <w:rPr>
          <w:rFonts w:ascii="黑体" w:eastAsia="黑体"/>
          <w:sz w:val="32"/>
          <w:szCs w:val="32"/>
        </w:rPr>
      </w:pPr>
      <w:bookmarkStart w:id="55" w:name="_Toc15396611"/>
      <w:bookmarkStart w:id="56" w:name="_Toc15377219"/>
      <w:r>
        <w:rPr>
          <w:rFonts w:hint="eastAsia" w:ascii="黑体" w:eastAsia="黑体"/>
          <w:sz w:val="32"/>
          <w:szCs w:val="32"/>
        </w:rPr>
        <w:t>九、国有资本经营预算支出决算情况说明</w:t>
      </w:r>
      <w:bookmarkEnd w:id="55"/>
      <w:bookmarkEnd w:id="5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pPr>
        <w:spacing w:line="600" w:lineRule="exact"/>
        <w:ind w:firstLine="566" w:firstLineChars="177"/>
        <w:outlineLvl w:val="1"/>
        <w:rPr>
          <w:rStyle w:val="23"/>
          <w:rFonts w:ascii="黑体" w:eastAsia="黑体"/>
          <w:b w:val="0"/>
        </w:rPr>
      </w:pPr>
      <w:bookmarkStart w:id="57" w:name="_Toc15377221"/>
      <w:bookmarkStart w:id="58" w:name="_Toc15396612"/>
      <w:r>
        <w:rPr>
          <w:rStyle w:val="23"/>
          <w:rFonts w:hint="eastAsia" w:ascii="黑体" w:eastAsia="黑体"/>
          <w:b w:val="0"/>
        </w:rPr>
        <w:t>十、其他重要事项的情况说明</w:t>
      </w:r>
      <w:bookmarkEnd w:id="57"/>
      <w:bookmarkEnd w:id="58"/>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59" w:name="_Toc15377222"/>
      <w:r>
        <w:rPr>
          <w:rFonts w:hint="eastAsia" w:ascii="楷体_GB2312" w:eastAsia="楷体_GB2312"/>
          <w:b/>
          <w:bCs/>
          <w:sz w:val="32"/>
          <w:szCs w:val="32"/>
        </w:rPr>
        <w:t>（一）机关运行经费支出情况</w:t>
      </w:r>
      <w:bookmarkEnd w:id="59"/>
    </w:p>
    <w:p>
      <w:pPr>
        <w:pStyle w:val="15"/>
        <w:shd w:val="clear" w:color="auto" w:fill="FFFFFF"/>
        <w:spacing w:before="0" w:beforeAutospacing="0" w:after="0" w:afterAutospacing="0"/>
        <w:ind w:firstLine="707" w:firstLineChars="221"/>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21年，阿坝州妇女联合会机关运行经费支出105.12万元，比</w:t>
      </w:r>
      <w:r>
        <w:rPr>
          <w:rFonts w:ascii="仿宋_GB2312" w:eastAsia="仿宋_GB2312"/>
          <w:sz w:val="32"/>
          <w:szCs w:val="32"/>
        </w:rPr>
        <w:t>20</w:t>
      </w:r>
      <w:r>
        <w:rPr>
          <w:rFonts w:hint="eastAsia" w:ascii="仿宋_GB2312" w:eastAsia="仿宋_GB2312"/>
          <w:sz w:val="32"/>
          <w:szCs w:val="32"/>
        </w:rPr>
        <w:t>20年增加41.28万元，增长64.66</w:t>
      </w:r>
      <w:r>
        <w:rPr>
          <w:rFonts w:ascii="仿宋_GB2312" w:eastAsia="仿宋_GB2312"/>
          <w:sz w:val="32"/>
          <w:szCs w:val="32"/>
        </w:rPr>
        <w:t>%</w:t>
      </w:r>
      <w:r>
        <w:rPr>
          <w:rFonts w:hint="eastAsia" w:ascii="仿宋_GB2312" w:eastAsia="仿宋_GB2312"/>
          <w:sz w:val="32"/>
          <w:szCs w:val="32"/>
        </w:rPr>
        <w:t>（或与</w:t>
      </w:r>
      <w:r>
        <w:rPr>
          <w:rFonts w:ascii="仿宋_GB2312" w:eastAsia="仿宋_GB2312"/>
          <w:sz w:val="32"/>
          <w:szCs w:val="32"/>
        </w:rPr>
        <w:t>20</w:t>
      </w:r>
      <w:r>
        <w:rPr>
          <w:rFonts w:hint="eastAsia" w:ascii="仿宋_GB2312" w:eastAsia="仿宋_GB2312"/>
          <w:sz w:val="32"/>
          <w:szCs w:val="32"/>
        </w:rPr>
        <w:t>20年决算数持平）。主要原因是：一是今年开展了全州13县（市）两纲督导和调研；二是2020年的会议会今年结账，三是车辆进行了大型维修。</w:t>
      </w:r>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60" w:name="_Toc15377223"/>
      <w:r>
        <w:rPr>
          <w:rFonts w:hint="eastAsia" w:ascii="楷体_GB2312" w:eastAsia="楷体_GB2312"/>
          <w:b/>
          <w:bCs/>
          <w:sz w:val="32"/>
          <w:szCs w:val="32"/>
        </w:rPr>
        <w:t>（二）政府采购支出情况</w:t>
      </w:r>
      <w:bookmarkEnd w:id="6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21年，阿坝州妇女联合会政府采购支出总额0万元，其中：政府采购货物支出0万元、政府采购工程支出0万元、政府采购服务支出0万元。授予中小企业合同金额0万元，占政府采购支出总额的0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pStyle w:val="5"/>
        <w:adjustRightInd w:val="0"/>
        <w:snapToGrid w:val="0"/>
        <w:spacing w:beforeLines="0" w:line="600" w:lineRule="exact"/>
        <w:ind w:firstLine="642" w:firstLineChars="200"/>
        <w:outlineLvl w:val="2"/>
        <w:rPr>
          <w:rFonts w:ascii="楷体_GB2312" w:eastAsia="楷体_GB2312"/>
          <w:b/>
          <w:bCs/>
          <w:sz w:val="32"/>
          <w:szCs w:val="32"/>
        </w:rPr>
      </w:pPr>
      <w:bookmarkStart w:id="61" w:name="_Toc15377224"/>
      <w:r>
        <w:rPr>
          <w:rFonts w:hint="eastAsia" w:ascii="楷体_GB2312" w:eastAsia="楷体_GB2312"/>
          <w:b/>
          <w:bCs/>
          <w:sz w:val="32"/>
          <w:szCs w:val="32"/>
        </w:rPr>
        <w:t>（三）国有资产占有使用情况</w:t>
      </w:r>
      <w:bookmarkEnd w:id="61"/>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日，阿坝州妇女联合会共有车辆2辆，其中：主要领导干部用车0辆、机要通信用车0辆、应急保障用车0辆、其他用车2辆。其他用车主要是用于</w:t>
      </w:r>
      <w:r>
        <w:rPr>
          <w:rFonts w:hint="eastAsia" w:ascii="仿宋_GB2312" w:eastAsia="仿宋_GB2312"/>
          <w:color w:val="000000" w:themeColor="text1"/>
          <w:sz w:val="32"/>
          <w:szCs w:val="32"/>
        </w:rPr>
        <w:t>开展公务活动。</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pPr>
        <w:pStyle w:val="5"/>
        <w:adjustRightInd w:val="0"/>
        <w:snapToGrid w:val="0"/>
        <w:spacing w:beforeLines="0" w:line="600" w:lineRule="exact"/>
        <w:ind w:firstLine="642" w:firstLineChars="200"/>
        <w:outlineLvl w:val="2"/>
        <w:rPr>
          <w:rFonts w:ascii="楷体_GB2312" w:eastAsia="楷体_GB2312"/>
          <w:b/>
          <w:bCs/>
          <w:sz w:val="32"/>
          <w:szCs w:val="32"/>
        </w:rPr>
      </w:pPr>
      <w:r>
        <w:rPr>
          <w:rFonts w:hint="eastAsia" w:ascii="楷体_GB2312" w:eastAsia="楷体_GB2312"/>
          <w:b/>
          <w:bCs/>
          <w:sz w:val="32"/>
          <w:szCs w:val="32"/>
        </w:rPr>
        <w:t>（四）预算绩效管理情况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部门在2021年度预算编制阶段，组织对1+N工作经费项目等8个项目开展了预算事前绩效评估，对8个项目编制了绩效目标，预算执行过程中，选取8个项目开展绩效监控，年终执行完毕后，对8个项目开展了绩效自评。同时，本部门对2021年部门整体开展绩效自评，《2021年阿坝州妇女联合会部门整体绩效评价报告》见附件（第四部分）。</w:t>
      </w:r>
    </w:p>
    <w:p>
      <w:pPr>
        <w:widowControl/>
        <w:ind w:firstLine="642" w:firstLineChars="200"/>
        <w:jc w:val="left"/>
        <w:rPr>
          <w:rFonts w:ascii="仿宋_GB2312" w:eastAsia="仿宋_GB2312"/>
          <w:b/>
          <w:sz w:val="32"/>
          <w:szCs w:val="32"/>
        </w:rPr>
      </w:pPr>
      <w:r>
        <w:rPr>
          <w:rFonts w:ascii="仿宋_GB2312" w:eastAsia="仿宋_GB2312"/>
          <w:b/>
          <w:sz w:val="32"/>
          <w:szCs w:val="32"/>
        </w:rPr>
        <w:br w:type="page"/>
      </w:r>
    </w:p>
    <w:p>
      <w:pPr>
        <w:numPr>
          <w:ilvl w:val="0"/>
          <w:numId w:val="2"/>
        </w:numPr>
        <w:spacing w:line="600" w:lineRule="exact"/>
        <w:ind w:firstLine="880" w:firstLineChars="200"/>
        <w:jc w:val="center"/>
        <w:outlineLvl w:val="0"/>
        <w:rPr>
          <w:rStyle w:val="21"/>
          <w:rFonts w:ascii="黑体" w:eastAsia="黑体"/>
          <w:b w:val="0"/>
        </w:rPr>
      </w:pPr>
      <w:bookmarkStart w:id="62" w:name="_Toc15377225"/>
      <w:bookmarkStart w:id="63" w:name="_Toc15396613"/>
      <w:r>
        <w:rPr>
          <w:rFonts w:hint="eastAsia" w:ascii="黑体" w:eastAsia="黑体"/>
          <w:sz w:val="44"/>
          <w:szCs w:val="44"/>
        </w:rPr>
        <w:t>名</w:t>
      </w:r>
      <w:r>
        <w:rPr>
          <w:rStyle w:val="21"/>
          <w:rFonts w:hint="eastAsia" w:ascii="黑体" w:eastAsia="黑体"/>
          <w:b w:val="0"/>
        </w:rPr>
        <w:t>词解释</w:t>
      </w:r>
      <w:bookmarkEnd w:id="62"/>
      <w:bookmarkEnd w:id="63"/>
    </w:p>
    <w:p>
      <w:pPr>
        <w:spacing w:line="600" w:lineRule="exact"/>
        <w:jc w:val="left"/>
        <w:rPr>
          <w:rFonts w:ascii="宋体"/>
          <w:b/>
          <w:sz w:val="44"/>
          <w:szCs w:val="44"/>
        </w:rPr>
      </w:pP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color w:val="000000"/>
          <w:sz w:val="32"/>
          <w:szCs w:val="32"/>
        </w:rPr>
        <w:t>9.</w:t>
      </w:r>
      <w:r>
        <w:rPr>
          <w:rFonts w:hint="eastAsia" w:ascii="仿宋" w:hAnsi="仿宋" w:eastAsia="仿宋" w:cs="仿宋"/>
          <w:sz w:val="32"/>
          <w:szCs w:val="32"/>
        </w:rPr>
        <w:t>一般公共服务（201）群众团体事务（29）行政运行（01）指：单位基本支出。</w:t>
      </w:r>
    </w:p>
    <w:p>
      <w:pPr>
        <w:spacing w:line="576" w:lineRule="exact"/>
        <w:ind w:firstLine="642" w:firstLineChars="200"/>
        <w:rPr>
          <w:rFonts w:ascii="仿宋" w:hAnsi="仿宋" w:eastAsia="仿宋" w:cs="仿宋"/>
          <w:sz w:val="32"/>
          <w:szCs w:val="32"/>
        </w:rPr>
      </w:pPr>
      <w:r>
        <w:rPr>
          <w:rFonts w:hint="eastAsia" w:ascii="仿宋" w:hAnsi="仿宋" w:eastAsia="仿宋" w:cs="仿宋"/>
          <w:b/>
          <w:bCs/>
          <w:color w:val="000000"/>
          <w:sz w:val="32"/>
          <w:szCs w:val="32"/>
        </w:rPr>
        <w:t>10.</w:t>
      </w:r>
      <w:r>
        <w:rPr>
          <w:rFonts w:hint="eastAsia" w:ascii="仿宋" w:hAnsi="仿宋" w:eastAsia="仿宋" w:cs="仿宋"/>
          <w:sz w:val="32"/>
          <w:szCs w:val="32"/>
        </w:rPr>
        <w:t>一般公共服务（201）群众团体事务（29）一般行政管理事务（02）指：单位项目经费。</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sz w:val="32"/>
          <w:szCs w:val="32"/>
        </w:rPr>
        <w:t>11.</w:t>
      </w:r>
      <w:r>
        <w:rPr>
          <w:rFonts w:hint="eastAsia" w:ascii="仿宋" w:hAnsi="仿宋" w:eastAsia="仿宋" w:cs="仿宋"/>
          <w:sz w:val="32"/>
          <w:szCs w:val="32"/>
        </w:rPr>
        <w:t>一般公共服务（201）群众团体事务（29）其他群众团体事务支出（99）指</w:t>
      </w:r>
      <w:r>
        <w:rPr>
          <w:rFonts w:hint="eastAsia" w:ascii="仿宋" w:hAnsi="仿宋" w:eastAsia="仿宋" w:cs="仿宋"/>
          <w:color w:val="000000"/>
          <w:sz w:val="32"/>
          <w:szCs w:val="32"/>
        </w:rPr>
        <w:t>：妇女儿童事业专项经费。</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12.</w:t>
      </w:r>
      <w:r>
        <w:rPr>
          <w:rFonts w:hint="eastAsia" w:ascii="仿宋" w:hAnsi="仿宋" w:eastAsia="仿宋" w:cs="仿宋"/>
          <w:sz w:val="32"/>
          <w:szCs w:val="32"/>
        </w:rPr>
        <w:t>住房保障支出（221）住房改革支出（02）住房公积金（01）:指单位缴纳住房公积金。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13.</w:t>
      </w:r>
      <w:r>
        <w:rPr>
          <w:rFonts w:hint="eastAsia" w:ascii="仿宋" w:hAnsi="仿宋" w:eastAsia="仿宋" w:cs="仿宋"/>
          <w:sz w:val="32"/>
          <w:szCs w:val="32"/>
        </w:rPr>
        <w:t>社会保障和就业（208）行政事业单位离退休（05）机关事业单位基本养老保险费缴费支出（05）指:单位缴纳养老保险费。</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14.</w:t>
      </w:r>
      <w:r>
        <w:rPr>
          <w:rFonts w:hint="eastAsia" w:ascii="仿宋" w:hAnsi="仿宋" w:eastAsia="仿宋" w:cs="仿宋"/>
          <w:sz w:val="32"/>
          <w:szCs w:val="32"/>
        </w:rPr>
        <w:t>社会保障和就业（208）行政事业单位离退休（05）机关事业单位职业年金缴费支出（06）指：单位缴纳职业年金。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15.</w:t>
      </w:r>
      <w:r>
        <w:rPr>
          <w:rFonts w:hint="eastAsia" w:ascii="仿宋" w:hAnsi="仿宋" w:eastAsia="仿宋" w:cs="仿宋"/>
          <w:sz w:val="32"/>
          <w:szCs w:val="32"/>
        </w:rPr>
        <w:t>医疗卫生与计划生育（210）行政事业单位医疗（11）行政单位医疗（01）指:单位缴纳医疗保险费用。</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sz w:val="32"/>
          <w:szCs w:val="32"/>
        </w:rPr>
        <w:t>16.</w:t>
      </w:r>
      <w:r>
        <w:rPr>
          <w:rFonts w:hint="eastAsia" w:ascii="仿宋" w:hAnsi="仿宋" w:eastAsia="仿宋" w:cs="仿宋"/>
          <w:sz w:val="32"/>
          <w:szCs w:val="32"/>
        </w:rPr>
        <w:t>医疗卫生与计划生育（210）行政事业单位医疗（11）公务员医疗补助（03）指:单位缴纳公务员医疗补助费用</w:t>
      </w:r>
      <w:r>
        <w:rPr>
          <w:rFonts w:hint="eastAsia" w:ascii="仿宋" w:hAnsi="仿宋" w:eastAsia="仿宋" w:cs="仿宋"/>
          <w:color w:val="000000"/>
          <w:sz w:val="32"/>
          <w:szCs w:val="32"/>
        </w:rPr>
        <w:t>。</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17.</w:t>
      </w:r>
      <w:r>
        <w:rPr>
          <w:rFonts w:hint="eastAsia" w:ascii="仿宋" w:hAnsi="仿宋" w:eastAsia="仿宋" w:cs="仿宋"/>
          <w:color w:val="000000"/>
          <w:sz w:val="32"/>
          <w:szCs w:val="32"/>
        </w:rPr>
        <w:t>“两癌”：指患宫颈癌和乳腺癌。</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18.</w:t>
      </w:r>
      <w:r>
        <w:rPr>
          <w:rFonts w:hint="eastAsia" w:ascii="仿宋" w:hAnsi="仿宋" w:eastAsia="仿宋" w:cs="仿宋"/>
          <w:color w:val="000000"/>
          <w:sz w:val="32"/>
          <w:szCs w:val="32"/>
        </w:rPr>
        <w:t>基本支出：指为保障机构正常运转、完成日常工作任务而发生的人员支出和公用支出。</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19.</w:t>
      </w:r>
      <w:r>
        <w:rPr>
          <w:rFonts w:hint="eastAsia" w:ascii="仿宋" w:hAnsi="仿宋" w:eastAsia="仿宋" w:cs="仿宋"/>
          <w:color w:val="000000"/>
          <w:sz w:val="32"/>
          <w:szCs w:val="32"/>
        </w:rPr>
        <w:t>项目支出：指在基本支出之外为完成特定行政任务和事业发展目标所发生的支出。</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20.</w:t>
      </w:r>
      <w:r>
        <w:rPr>
          <w:rFonts w:hint="eastAsia" w:ascii="仿宋" w:hAnsi="仿宋" w:eastAsia="仿宋" w:cs="仿宋"/>
          <w:color w:val="000000"/>
          <w:sz w:val="32"/>
          <w:szCs w:val="32"/>
        </w:rPr>
        <w:t>经营支出：指事业单位在专业业务活动及其辅助活动之外开展非独立核算经营活动发生的支出。</w:t>
      </w:r>
    </w:p>
    <w:p>
      <w:pPr>
        <w:pStyle w:val="29"/>
        <w:spacing w:line="576" w:lineRule="exact"/>
        <w:ind w:firstLine="642" w:firstLineChars="200"/>
        <w:rPr>
          <w:rFonts w:hAnsi="仿宋"/>
          <w:sz w:val="32"/>
          <w:szCs w:val="32"/>
        </w:rPr>
      </w:pPr>
      <w:r>
        <w:rPr>
          <w:rFonts w:hint="eastAsia" w:hAnsi="仿宋"/>
          <w:b/>
          <w:bCs/>
          <w:sz w:val="32"/>
          <w:szCs w:val="32"/>
        </w:rPr>
        <w:t>21.</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76" w:lineRule="exact"/>
        <w:ind w:firstLine="642" w:firstLineChars="200"/>
        <w:rPr>
          <w:rFonts w:ascii="仿宋_GB2312" w:eastAsia="仿宋_GB2312"/>
          <w:sz w:val="32"/>
          <w:szCs w:val="32"/>
        </w:rPr>
      </w:pPr>
      <w:r>
        <w:rPr>
          <w:rFonts w:hint="eastAsia" w:hAnsi="仿宋"/>
          <w:b/>
          <w:bCs/>
          <w:sz w:val="32"/>
          <w:szCs w:val="32"/>
        </w:rPr>
        <w:t>22.</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rPr>
          <w:rFonts w:ascii="仿宋_GB2312" w:eastAsia="仿宋_GB2312" w:cs="黑体"/>
          <w:color w:val="auto"/>
          <w:sz w:val="32"/>
          <w:szCs w:val="32"/>
        </w:rPr>
      </w:pPr>
      <w:r>
        <w:rPr>
          <w:rFonts w:ascii="宋体"/>
          <w:b/>
          <w:sz w:val="44"/>
          <w:szCs w:val="44"/>
        </w:rPr>
        <w:br w:type="page"/>
      </w:r>
    </w:p>
    <w:p>
      <w:pPr>
        <w:spacing w:line="600" w:lineRule="exact"/>
        <w:ind w:firstLine="880" w:firstLineChars="200"/>
        <w:jc w:val="center"/>
        <w:outlineLvl w:val="0"/>
        <w:rPr>
          <w:rStyle w:val="21"/>
          <w:rFonts w:ascii="黑体" w:eastAsia="黑体"/>
          <w:b w:val="0"/>
        </w:rPr>
      </w:pPr>
      <w:bookmarkStart w:id="64" w:name="_Toc15396614"/>
      <w:bookmarkStart w:id="65" w:name="_Toc15377226"/>
      <w:r>
        <w:rPr>
          <w:rFonts w:hint="eastAsia" w:ascii="黑体" w:eastAsia="黑体"/>
          <w:sz w:val="44"/>
          <w:szCs w:val="44"/>
        </w:rPr>
        <w:t>第</w:t>
      </w:r>
      <w:r>
        <w:rPr>
          <w:rStyle w:val="21"/>
          <w:rFonts w:hint="eastAsia" w:ascii="黑体" w:eastAsia="黑体"/>
          <w:b w:val="0"/>
        </w:rPr>
        <w:t>四部分附件</w:t>
      </w:r>
      <w:bookmarkEnd w:id="64"/>
    </w:p>
    <w:p>
      <w:pPr>
        <w:spacing w:line="572" w:lineRule="exact"/>
        <w:ind w:firstLine="800" w:firstLineChars="200"/>
        <w:jc w:val="center"/>
        <w:rPr>
          <w:rFonts w:ascii="方正小标宋简体" w:eastAsia="方正小标宋简体"/>
          <w:kern w:val="0"/>
          <w:sz w:val="40"/>
          <w:szCs w:val="44"/>
        </w:rPr>
      </w:pPr>
      <w:r>
        <w:rPr>
          <w:rFonts w:hint="eastAsia" w:ascii="方正小标宋简体" w:eastAsia="方正小标宋简体"/>
          <w:kern w:val="0"/>
          <w:sz w:val="40"/>
          <w:szCs w:val="44"/>
        </w:rPr>
        <w:t>2021年阿坝州妇联部门整体绩效评价报告</w:t>
      </w:r>
    </w:p>
    <w:p>
      <w:pPr>
        <w:spacing w:line="572" w:lineRule="exact"/>
        <w:ind w:firstLine="800" w:firstLineChars="200"/>
        <w:jc w:val="center"/>
        <w:rPr>
          <w:rFonts w:ascii="方正小标宋简体" w:eastAsia="方正小标宋简体"/>
          <w:kern w:val="0"/>
          <w:sz w:val="40"/>
          <w:szCs w:val="44"/>
          <w:lang w:val="zh-CN"/>
        </w:rPr>
      </w:pP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一、部门基本情况</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（一）部门职能</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1.坚持正确的政治方向，团结、教育全州各族各界妇女在思想上、行动上同党中央保持高度一致。</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4.坚持为妇女儿童服务、为基层服务，加强与社会各界的联系，协调推动全社会为妇女儿童办实事，办好事。</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5.指导县妇联依据《中华全国妇女联合会章程》和州妇女代表大会的任务，开展妇女儿童工作；联系团体会员并给予工作指导；巩固和扩大各族各界妇女的大团结，促进我州民族团结，社会稳定。</w:t>
      </w:r>
    </w:p>
    <w:p>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6.承办州政府妇女儿童工作委员会办公室的工作。</w:t>
      </w:r>
    </w:p>
    <w:p>
      <w:pPr>
        <w:widowControl/>
        <w:spacing w:line="560" w:lineRule="atLeast"/>
        <w:ind w:firstLine="640"/>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（二）机构设置</w:t>
      </w:r>
    </w:p>
    <w:p>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阿坝州妇联属一级预算单位，我会设一室三部，即办公室、家儿权益部、组织宣传部、发展联络部。州政府妇儿工委办设在我会。</w:t>
      </w:r>
    </w:p>
    <w:p>
      <w:pPr>
        <w:widowControl/>
        <w:spacing w:line="560" w:lineRule="atLeast"/>
        <w:ind w:firstLine="640"/>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（三）人员编制情况</w:t>
      </w:r>
    </w:p>
    <w:p>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总编制14名，其中：行政编制11名，工勤人员3名。在职人员总数12名，其中：行政人员9名，工勤人员3名；退休人员6人。</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二、一般公共预算支出情况</w:t>
      </w:r>
    </w:p>
    <w:p>
      <w:pPr>
        <w:widowControl/>
        <w:spacing w:line="560" w:lineRule="atLeast"/>
        <w:ind w:firstLine="640"/>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（一）部门财政资金收入情况。</w:t>
      </w:r>
    </w:p>
    <w:p>
      <w:pPr>
        <w:pStyle w:val="5"/>
        <w:spacing w:before="93"/>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21年财政拨款收入540.20万元。与</w:t>
      </w:r>
      <w:r>
        <w:rPr>
          <w:rFonts w:ascii="仿宋" w:eastAsia="仿宋"/>
          <w:sz w:val="32"/>
          <w:szCs w:val="32"/>
        </w:rPr>
        <w:t>20</w:t>
      </w:r>
      <w:r>
        <w:rPr>
          <w:rFonts w:hint="eastAsia" w:ascii="仿宋" w:eastAsia="仿宋"/>
          <w:sz w:val="32"/>
          <w:szCs w:val="32"/>
        </w:rPr>
        <w:t>20年相比，财政拨款收入增加131.98万元，增长32.33</w:t>
      </w:r>
      <w:r>
        <w:rPr>
          <w:rFonts w:ascii="仿宋" w:eastAsia="仿宋"/>
          <w:sz w:val="32"/>
          <w:szCs w:val="32"/>
        </w:rPr>
        <w:t>%</w:t>
      </w:r>
      <w:r>
        <w:rPr>
          <w:rFonts w:hint="eastAsia" w:ascii="仿宋" w:eastAsia="仿宋"/>
          <w:sz w:val="32"/>
          <w:szCs w:val="32"/>
        </w:rPr>
        <w:t>。</w:t>
      </w:r>
    </w:p>
    <w:p>
      <w:pPr>
        <w:widowControl/>
        <w:spacing w:line="560" w:lineRule="atLeast"/>
        <w:ind w:firstLine="640"/>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(二)部门财政资金支出情况。</w:t>
      </w:r>
    </w:p>
    <w:p>
      <w:pPr>
        <w:pStyle w:val="5"/>
        <w:spacing w:before="93"/>
        <w:ind w:left="420" w:leftChars="200" w:firstLine="640" w:firstLineChars="200"/>
        <w:rPr>
          <w:lang w:val="zh-CN"/>
        </w:rPr>
      </w:pPr>
      <w:r>
        <w:rPr>
          <w:rFonts w:ascii="仿宋" w:eastAsia="仿宋"/>
          <w:sz w:val="32"/>
          <w:szCs w:val="32"/>
        </w:rPr>
        <w:t>20</w:t>
      </w:r>
      <w:r>
        <w:rPr>
          <w:rFonts w:hint="eastAsia" w:ascii="仿宋" w:eastAsia="仿宋"/>
          <w:sz w:val="32"/>
          <w:szCs w:val="32"/>
        </w:rPr>
        <w:t>21年</w:t>
      </w:r>
      <w:r>
        <w:rPr>
          <w:rFonts w:hint="eastAsia" w:cs="宋体"/>
          <w:sz w:val="32"/>
          <w:szCs w:val="32"/>
          <w:shd w:val="clear" w:color="auto" w:fill="FFFFFF"/>
          <w:lang w:val="zh-CN"/>
        </w:rPr>
        <w:t>部门财政资金支出</w:t>
      </w:r>
      <w:r>
        <w:rPr>
          <w:rFonts w:hint="eastAsia" w:cs="宋体"/>
          <w:sz w:val="32"/>
          <w:szCs w:val="32"/>
          <w:shd w:val="clear" w:color="auto" w:fill="FFFFFF"/>
        </w:rPr>
        <w:t>548.92；其中</w:t>
      </w:r>
      <w:r>
        <w:rPr>
          <w:rFonts w:hint="eastAsia" w:ascii="仿宋" w:eastAsia="仿宋"/>
          <w:sz w:val="32"/>
          <w:szCs w:val="32"/>
        </w:rPr>
        <w:t>一般公共预算财政拨款支出548.92万元，占本年支出合计的100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20年相比，一般公共预算财政拨款支出增加83.08万元，增长17.83</w:t>
      </w:r>
      <w:r>
        <w:rPr>
          <w:rFonts w:ascii="仿宋" w:eastAsia="仿宋"/>
          <w:sz w:val="32"/>
          <w:szCs w:val="32"/>
        </w:rPr>
        <w:t>%</w:t>
      </w:r>
      <w:r>
        <w:rPr>
          <w:rFonts w:hint="eastAsia" w:ascii="仿宋" w:eastAsia="仿宋"/>
          <w:sz w:val="32"/>
          <w:szCs w:val="32"/>
        </w:rPr>
        <w:t>。</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三、政府性基金预算支出情况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2021年本单位无政府性基金预算支出</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四、国有资本经营预算支出情况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2021年本单位无国有资本经营预算支出</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五、社会保险基金预算支出情况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2021年本单位无社会保险基金预算支出。</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六、部门整体支出绩效情况</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（一）预算绩效目标情况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2021年一般公共预算拨款收入119.47万元，具体安排情况如下：</w:t>
      </w:r>
    </w:p>
    <w:p>
      <w:pPr>
        <w:pStyle w:val="15"/>
        <w:spacing w:before="0" w:beforeAutospacing="0" w:after="0" w:afterAutospacing="0"/>
        <w:ind w:firstLine="704" w:firstLineChars="220"/>
        <w:rPr>
          <w:rFonts w:ascii="仿宋_GB2312" w:eastAsia="仿宋_GB2312"/>
          <w:color w:val="333333"/>
          <w:sz w:val="32"/>
          <w:szCs w:val="32"/>
        </w:rPr>
      </w:pPr>
      <w:r>
        <w:rPr>
          <w:rFonts w:hint="eastAsia" w:ascii="仿宋_GB2312" w:eastAsia="仿宋_GB2312"/>
          <w:color w:val="333333"/>
          <w:sz w:val="32"/>
          <w:szCs w:val="32"/>
        </w:rPr>
        <w:t>基本支出：2021年一般公共预算支出为432.32万元，是指为保障单位机构正常运转、完成日常工作任务而发生的各项支出，包括用于基本工资、津贴补贴等人员经费以及办公费、印刷费、水电费、办公设备购置等日常公用经费。其中</w:t>
      </w:r>
      <w:r>
        <w:rPr>
          <w:rFonts w:hint="eastAsia" w:ascii="方正仿宋_GBK" w:eastAsia="方正仿宋_GBK" w:cs="Arial"/>
          <w:sz w:val="32"/>
          <w:szCs w:val="32"/>
        </w:rPr>
        <w:t>：</w:t>
      </w:r>
      <w:r>
        <w:rPr>
          <w:rFonts w:hint="eastAsia" w:ascii="仿宋_GB2312" w:eastAsia="仿宋_GB2312"/>
          <w:color w:val="333333"/>
          <w:sz w:val="32"/>
          <w:szCs w:val="32"/>
        </w:rPr>
        <w:t>基本支出中人员经费支出为327.20万元，公用经费支出为105.12万元。基本工资津贴支出208.78万元，其他社会保障2.13万元，其他工资福利支出32.71万元，对个人和家庭补助支出4.37万元。</w:t>
      </w:r>
    </w:p>
    <w:p>
      <w:pPr>
        <w:pStyle w:val="15"/>
        <w:spacing w:before="0" w:beforeAutospacing="0" w:after="0" w:afterAutospacing="0"/>
        <w:ind w:firstLine="704" w:firstLineChars="220"/>
        <w:rPr>
          <w:rFonts w:ascii="仿宋_GB2312" w:eastAsia="仿宋_GB2312"/>
          <w:sz w:val="32"/>
          <w:szCs w:val="32"/>
        </w:rPr>
      </w:pPr>
      <w:r>
        <w:rPr>
          <w:rFonts w:hint="eastAsia" w:ascii="仿宋_GB2312" w:eastAsia="仿宋_GB2312"/>
          <w:color w:val="333333"/>
          <w:sz w:val="32"/>
          <w:szCs w:val="32"/>
        </w:rPr>
        <w:t>项目支出：2021年一般公共预算支出108.9万元,共有</w:t>
      </w:r>
      <w:r>
        <w:rPr>
          <w:rFonts w:hint="eastAsia" w:ascii="仿宋_GB2312" w:eastAsia="仿宋_GB2312" w:hAnsiTheme="minorHAnsi" w:cstheme="minorBidi"/>
          <w:kern w:val="2"/>
          <w:sz w:val="32"/>
          <w:szCs w:val="32"/>
        </w:rPr>
        <w:t>8个项目，州级预算经费98万元，实际支付97.9万元，完成预算99.9%。省级预算经费11万元，实际支付10.8万元，完成预算98.18%。</w:t>
      </w:r>
    </w:p>
    <w:p>
      <w:pPr>
        <w:spacing w:line="560" w:lineRule="exact"/>
        <w:ind w:firstLine="704" w:firstLineChars="220"/>
        <w:rPr>
          <w:rFonts w:ascii="仿宋_GB2312" w:eastAsia="仿宋_GB2312"/>
          <w:sz w:val="32"/>
          <w:szCs w:val="32"/>
        </w:rPr>
      </w:pPr>
      <w:r>
        <w:rPr>
          <w:rFonts w:hint="eastAsia" w:ascii="仿宋_GB2312" w:eastAsia="仿宋_GB2312"/>
          <w:sz w:val="32"/>
          <w:szCs w:val="32"/>
        </w:rPr>
        <w:t>按照预算绩效管理要求，我会对2021年一般公共预算项目支出开展了绩效目标管理，共编制绩效目标8个，涉及财政资金108.7万元，覆盖率达到100%。1.1+N工作经费预算下达指标为45万元，实际支出数为44.98万元，完成预算99.96%。2.妇儿工委专项经费预算下达指标为10万元，实际支出数为10万元，完成预算100%。3.三.八节、儿童节、母亲节活动经费预算下达指标为5万元，实际支出数为4.94万元，完成预算98.88%。4.妇女儿童专项经费预算下达指标为11万元，实际支出数为10.98万元，完成预算99.82%。5.基层组织建设经费预算下达指标为10万元，实际支出数为10万元，完成预算100%。6.贫困妇女儿童救助经费预算下达指标为50000元，上年结余38058.8，实际支出数为8.81万元，完成预算100%。7.省妇女儿童专项经费预算下达指标为11万元，实际支出数为10.8万元，结转0.2万元用于项目评审费。完成预算98.18%。8.妇女政治思想领宣传经费预算下达指标为12万元，实际支出数为12万元，完成预算100%。</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（二）部门整体支出绩效目标完成情况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预决算公开：根据州财政局的统一部署及相关要求，我会已在州政府信息网站上进行了预（决）算公开。</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存量资金管理：我会已实行国库集中支付管理。</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资产管理：机关制度明确了资产管理，建立了固定资产台账，指定专人管理，及时登记，科学使用。固定资产的调出、处置、报废、报损严格执行国家有关规定的审批程序办理。</w:t>
      </w:r>
    </w:p>
    <w:p>
      <w:pPr>
        <w:widowControl/>
        <w:spacing w:line="560" w:lineRule="atLeast"/>
        <w:ind w:firstLine="64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公”经费控制：2021年，我会“三公”经费支出23.01万元，其中：公务用车购置及运行维护费支出22.78万元（4.18万元属于项目款），其中车辆运行经费为12.12万元车辆维修费用为10.66万元。公务接待费支出0.23万元。</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内部控制制度建设：我会制定了《机关管理制度》《财务管理制度》《政府采购制度》等一系列内部控制制度，相关制度合法合规、完整，并得到有效执行。</w:t>
      </w:r>
    </w:p>
    <w:p>
      <w:pPr>
        <w:widowControl/>
        <w:spacing w:line="560" w:lineRule="atLeast"/>
        <w:ind w:firstLine="64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绩效目标完成情况：2021年州妇联紧紧围绕州委州政府工作大局，把握开启现代化新赫山建设目标要求，找准定位、履职尽责，在思想引领、服务大局、家庭建设、民生实事、维护权益、创新方法等方面取得明显成效。</w:t>
      </w:r>
    </w:p>
    <w:p>
      <w:pPr>
        <w:widowControl/>
        <w:spacing w:line="560" w:lineRule="atLeast"/>
        <w:ind w:firstLine="640"/>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（三）部门整体支出实施情况分析</w:t>
      </w:r>
    </w:p>
    <w:p>
      <w:pPr>
        <w:widowControl/>
        <w:spacing w:line="560" w:lineRule="atLeast"/>
        <w:ind w:firstLine="64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我会在部门整体支出中，严格按照年初预算安排，坚持“无预算，不支出；有预算，严格按预算支出”的原则，以及“细化预算和提前编制预算”原则，严格遵守资金管理制度，强化监督，专款专用，确保各项资金及时到位，无截留、挪用等现象。健全和完善管理制度，加强基本支出管理。严格审批程序，严格执行国家规定的开支范围及开支标准，量入为出，坚持联审会签制度。严格报账程序，实行国库集中支付制度，严格完善相关资料手续、审核审批程序，保证了各项资金使用的合理合规，充分发挥了各项资金的使用效益。</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（四）绩效评价工作情况</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1.绩效评价目的</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本次绩效评价的目的是为了全面分析和综合评价我会本级财政预算资金的使用管理情况，为切实提高财政资金使用效益，强化预算支出的责任和效率提供参考依据。</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2.绩效评价工作过程</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（1）前期准备。按照绩效自评工作要求，成立以副主席王孝莉为组长的绩效评价工作小组，对相关的国家法律法规进行了认真学习，掌握政策，根据部门整体收支情况制定了部门整体支出绩效评价实施方案。</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（2）组织实施。采用核查法核查2021年同级财政预算批复执行及部门整体支出情况，着重核查了“三公”经费及资产管理、内部控制制度等情况。</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（3）分析评价。对评价过程中收集资料进行归纳，汇总分析，依据设定的部门整体支出绩效评价指标体系进行了评分，形成了综合性书面报告。</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（五）主要绩效及评价结论</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1、经济性分析</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（1）本年预算配置控制较好。财政供养人员控制在预算编制以内，编制内在职人员控制率为100%；“三公”经费支出总额小，低于年初预算。</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（2）预算执行方面。支出总额控制在预算总额以内，所有支出严格依照相关财务管理规定执行，特别重视量财办事、量力而行，严格控制标准、注重节约，少花钱办好事，各项支出都在合理范围内。</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（3）预算管理方面。我会制定了切实有效的内部管理制度和经费支出控制方案，有较强的内控风险管理意识、各项经费支出得到了有效控制。</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2．效率性分析</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2021年，在州委州政府和市妇联的领导下，州妇联立足职能，勇于担当作为，积极推进妇联各项工作。</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3．效益性分析</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2021年州妇联紧紧围绕州委州政府工作大局，把握开启现代化新赫山建设目标要求，找准定位、履职尽责，在思想引领、服务大局、家庭建设、民生实事、维护权益、创新方法等方面取得明显成效。</w:t>
      </w:r>
    </w:p>
    <w:p>
      <w:pPr>
        <w:widowControl/>
        <w:spacing w:line="560" w:lineRule="atLeast"/>
        <w:ind w:firstLine="640"/>
        <w:jc w:val="left"/>
        <w:rPr>
          <w:rFonts w:ascii="宋体" w:hAnsi="宋体" w:cs="宋体"/>
          <w:b/>
          <w:color w:val="333333"/>
          <w:kern w:val="0"/>
          <w:sz w:val="24"/>
        </w:rPr>
      </w:pPr>
      <w:r>
        <w:rPr>
          <w:rFonts w:hint="eastAsia" w:ascii="仿宋_GB2312" w:hAnsi="宋体" w:eastAsia="仿宋_GB2312" w:cs="宋体"/>
          <w:b/>
          <w:color w:val="333333"/>
          <w:kern w:val="0"/>
          <w:sz w:val="32"/>
          <w:szCs w:val="32"/>
        </w:rPr>
        <w:t>4．评价结论</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一是预算执行到位。严格执行《预算法》和各项财经纪律，机关管理制度健全，财务管理规范，预算编制合理；二是资金监管到位。</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七、存在的问题及原因分析</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预算编制不够明确和细化，预算编制的合理性需要提高。因部分工作是年中或年末根据省州相关要求开展，未纳入年初预算，另外还有部分不可预见经费的追加，无法纳入预算，导致预算执行存在偏差。</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八、下一步改进措施</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（一）提高认识，突出重点</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1．提高对预算绩效管理的认识，充分理解财政绩效评价指标体系，注重绩效目标、评价指标的关联性，依据部门职责和年度工作重点，更加科学合理地确定部门绩效目标和评价目标。</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强化全过程预算绩效管理理念，强化部门项目选择与部门职责的相关性。按财政管理要求进一步建立完善项目库和内部项目选择机制，完善项目管理制度，实施项目加强领导重视，合理设定绩效目标，强化管理措施，科学编制预算,认真组织绩效考评。</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（二）强化管理，规范行为</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1．强化部门预算约束，细化预算编制，严格预算执行，合理制定项目方案和计划，减少预算执行中的项目预算调整和结余，平衡好预算执行进度，提高财政资金使用效率和效益。</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2．加强预算项目事前、事中、事后管控，做到事前有评估、事中有监控、事后有评价，并且按预期绩效目标完成程度考核项目实施效果。</w:t>
      </w:r>
    </w:p>
    <w:p>
      <w:pPr>
        <w:widowControl/>
        <w:spacing w:line="560" w:lineRule="atLeast"/>
        <w:ind w:firstLine="640"/>
        <w:jc w:val="left"/>
        <w:rPr>
          <w:rFonts w:ascii="楷体_GB2312" w:hAnsi="宋体" w:eastAsia="楷体_GB2312" w:cs="宋体"/>
          <w:b/>
          <w:color w:val="333333"/>
          <w:kern w:val="0"/>
          <w:sz w:val="24"/>
        </w:rPr>
      </w:pPr>
      <w:r>
        <w:rPr>
          <w:rFonts w:hint="eastAsia" w:ascii="楷体_GB2312" w:hAnsi="宋体" w:eastAsia="楷体_GB2312" w:cs="宋体"/>
          <w:b/>
          <w:color w:val="333333"/>
          <w:kern w:val="0"/>
          <w:sz w:val="32"/>
          <w:szCs w:val="32"/>
        </w:rPr>
        <w:t>（三）科学考核，注重实效</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1．建立科学合理的项目预算效果考核机制，依据预设的绩效数量、质量指标全面衡量预算实施效果，既重“绩”，更重“效”。</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2．注重服务对象满意度调查工作，根据部门职责明确服务对象、确定调查范围，采取适当方式全面收集服务对象满意度资料，反映部门服务效果。</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3．注重考核的全面性和客观性，对预设指标之外的项目效果同样纳入考核评价报告。</w:t>
      </w:r>
    </w:p>
    <w:p>
      <w:pPr>
        <w:widowControl/>
        <w:spacing w:line="560" w:lineRule="atLeast"/>
        <w:ind w:firstLine="640"/>
        <w:jc w:val="left"/>
        <w:rPr>
          <w:rFonts w:ascii="宋体" w:hAnsi="宋体" w:cs="宋体"/>
          <w:color w:val="333333"/>
          <w:kern w:val="0"/>
          <w:sz w:val="24"/>
        </w:rPr>
      </w:pPr>
      <w:r>
        <w:rPr>
          <w:rFonts w:hint="eastAsia" w:ascii="仿宋_GB2312" w:hAnsi="宋体" w:eastAsia="仿宋_GB2312" w:cs="宋体"/>
          <w:color w:val="333333"/>
          <w:kern w:val="0"/>
          <w:sz w:val="32"/>
          <w:szCs w:val="32"/>
        </w:rPr>
        <w:t>总之，部门整体绩效考评是一项系统性、全局性的工作，需要领导重视，全员参与，科学考核，注重实效。只有这样，才能不断增强绩效考评的客观性和科学性，切实促进财政资金科学管理和实际绩效水平不断提高。</w:t>
      </w:r>
    </w:p>
    <w:p>
      <w:pPr>
        <w:widowControl/>
        <w:spacing w:line="560" w:lineRule="atLeast"/>
        <w:ind w:firstLine="640"/>
        <w:jc w:val="left"/>
        <w:rPr>
          <w:rFonts w:ascii="宋体" w:hAnsi="宋体" w:cs="宋体"/>
          <w:color w:val="333333"/>
          <w:kern w:val="0"/>
          <w:sz w:val="24"/>
        </w:rPr>
      </w:pPr>
      <w:r>
        <w:rPr>
          <w:rFonts w:hint="eastAsia" w:ascii="黑体" w:hAnsi="黑体" w:eastAsia="黑体" w:cs="宋体"/>
          <w:color w:val="333333"/>
          <w:kern w:val="0"/>
          <w:sz w:val="32"/>
          <w:szCs w:val="32"/>
        </w:rPr>
        <w:t>九、其他需要说明的情况</w:t>
      </w:r>
    </w:p>
    <w:p>
      <w:pPr>
        <w:widowControl/>
        <w:adjustRightInd w:val="0"/>
        <w:snapToGrid w:val="0"/>
        <w:spacing w:line="572" w:lineRule="exact"/>
        <w:ind w:firstLine="640" w:firstLineChars="200"/>
        <w:contextualSpacing/>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科学合理编制预算，严格执行预算。要按照《预算法》及其实施条例的相关规定，参考上一年的预算执行情况和年度的收支预测、部门重点工作等科学编制预算，避免年中大幅追加以及超预算。同时严格预算执行，提高资金使用效率。</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p>
    <w:p>
      <w:pPr>
        <w:pStyle w:val="35"/>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val="en-US"/>
        </w:rPr>
        <w:t>2021年</w:t>
      </w:r>
      <w:r>
        <w:rPr>
          <w:rFonts w:hint="eastAsia" w:ascii="方正小标宋简体" w:hAnsi="宋体" w:eastAsia="方正小标宋简体"/>
          <w:sz w:val="44"/>
          <w:szCs w:val="44"/>
        </w:rPr>
        <w:t>专项预算项目支出绩效自评报告</w:t>
      </w:r>
    </w:p>
    <w:p>
      <w:pPr>
        <w:pStyle w:val="35"/>
        <w:spacing w:line="560" w:lineRule="exact"/>
        <w:jc w:val="center"/>
        <w:rPr>
          <w:rFonts w:ascii="楷体_GB2312" w:hAnsi="宋体" w:eastAsia="楷体_GB2312"/>
          <w:color w:val="auto"/>
          <w:kern w:val="2"/>
          <w:sz w:val="32"/>
          <w:szCs w:val="32"/>
        </w:rPr>
      </w:pPr>
      <w:r>
        <w:rPr>
          <w:rFonts w:hint="eastAsia" w:ascii="楷体_GB2312" w:hAnsi="宋体" w:eastAsia="楷体_GB2312"/>
          <w:color w:val="auto"/>
          <w:kern w:val="2"/>
          <w:sz w:val="32"/>
          <w:szCs w:val="32"/>
        </w:rPr>
        <w:t>（</w:t>
      </w:r>
      <w:r>
        <w:rPr>
          <w:rFonts w:hint="eastAsia" w:ascii="楷体_GB2312" w:hAnsi="楷体_GB2312" w:eastAsia="楷体_GB2312" w:cs="楷体_GB2312"/>
          <w:b/>
          <w:bCs/>
          <w:sz w:val="32"/>
          <w:szCs w:val="32"/>
          <w:lang w:val="en-US"/>
        </w:rPr>
        <w:t>贫困妇女儿童扶助工作经费</w:t>
      </w:r>
      <w:r>
        <w:rPr>
          <w:rFonts w:hint="eastAsia" w:ascii="楷体_GB2312" w:hAnsi="宋体" w:eastAsia="楷体_GB2312"/>
          <w:color w:val="auto"/>
          <w:kern w:val="2"/>
          <w:sz w:val="32"/>
          <w:szCs w:val="32"/>
        </w:rPr>
        <w:t>）</w:t>
      </w:r>
    </w:p>
    <w:p>
      <w:pPr>
        <w:pStyle w:val="35"/>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ascii="黑体" w:hAnsi="黑体" w:eastAsia="黑体"/>
          <w:sz w:val="32"/>
          <w:szCs w:val="32"/>
          <w:lang w:val="zh-CN"/>
        </w:rPr>
      </w:pPr>
      <w:r>
        <w:rPr>
          <w:rFonts w:hint="eastAsia" w:ascii="黑体" w:hAnsi="黑体" w:eastAsia="黑体"/>
          <w:sz w:val="32"/>
          <w:szCs w:val="32"/>
        </w:rPr>
        <w:t>一、</w:t>
      </w:r>
      <w:r>
        <w:rPr>
          <w:rFonts w:hint="eastAsia" w:ascii="黑体" w:hAnsi="黑体" w:eastAsia="黑体"/>
          <w:sz w:val="32"/>
          <w:szCs w:val="32"/>
          <w:lang w:val="zh-CN"/>
        </w:rPr>
        <w:t>项目概况</w:t>
      </w:r>
    </w:p>
    <w:p>
      <w:pPr>
        <w:adjustRightInd w:val="0"/>
        <w:snapToGrid w:val="0"/>
        <w:spacing w:line="560" w:lineRule="exact"/>
        <w:ind w:firstLine="720"/>
        <w:rPr>
          <w:rFonts w:ascii="仿宋_GB2312" w:hAnsi="宋体" w:eastAsia="仿宋_GB2312"/>
          <w:sz w:val="32"/>
          <w:szCs w:val="32"/>
        </w:rPr>
      </w:pPr>
      <w:r>
        <w:rPr>
          <w:rFonts w:hint="eastAsia" w:ascii="仿宋_GB2312" w:hAnsi="仿宋_GB2312" w:eastAsia="仿宋_GB2312" w:cs="仿宋_GB2312"/>
          <w:sz w:val="32"/>
          <w:szCs w:val="32"/>
        </w:rPr>
        <w:t>2021年</w:t>
      </w:r>
      <w:r>
        <w:rPr>
          <w:rFonts w:hint="eastAsia" w:ascii="仿宋_GB2312" w:hAnsi="宋体" w:eastAsia="仿宋_GB2312"/>
          <w:sz w:val="32"/>
          <w:szCs w:val="32"/>
        </w:rPr>
        <w:t>贫困妇女儿童扶助工作经费</w:t>
      </w:r>
      <w:r>
        <w:rPr>
          <w:rFonts w:hint="eastAsia" w:ascii="仿宋_GB2312" w:eastAsia="仿宋_GB2312" w:hAnsiTheme="majorEastAsia" w:cstheme="majorEastAsia"/>
          <w:sz w:val="32"/>
          <w:szCs w:val="32"/>
        </w:rPr>
        <w:t>——</w:t>
      </w:r>
      <w:r>
        <w:rPr>
          <w:rFonts w:hint="eastAsia" w:ascii="仿宋_GB2312" w:hAnsi="宋体" w:eastAsia="仿宋_GB2312"/>
          <w:sz w:val="32"/>
          <w:szCs w:val="32"/>
        </w:rPr>
        <w:t>救济费项目由办公室主要实施，相关部室参与。预算资金为5万元，使用资金5万元。</w:t>
      </w:r>
    </w:p>
    <w:p>
      <w:pPr>
        <w:adjustRightInd w:val="0"/>
        <w:snapToGrid w:val="0"/>
        <w:spacing w:line="560" w:lineRule="exact"/>
        <w:ind w:firstLine="720"/>
        <w:rPr>
          <w:rFonts w:ascii="黑体" w:hAnsi="黑体" w:eastAsia="黑体"/>
          <w:sz w:val="32"/>
          <w:szCs w:val="32"/>
        </w:rPr>
      </w:pPr>
      <w:r>
        <w:rPr>
          <w:rFonts w:hint="eastAsia" w:ascii="黑体" w:hAnsi="黑体" w:eastAsia="黑体"/>
          <w:sz w:val="32"/>
          <w:szCs w:val="32"/>
        </w:rPr>
        <w:t>二、项目实施及管理情况</w:t>
      </w:r>
    </w:p>
    <w:p>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60" w:lineRule="exact"/>
        <w:ind w:firstLine="720"/>
        <w:rPr>
          <w:rFonts w:ascii="仿宋_GB2312" w:hAnsi="宋体" w:eastAsia="仿宋_GB2312"/>
          <w:sz w:val="32"/>
          <w:szCs w:val="32"/>
        </w:rPr>
      </w:pPr>
      <w:r>
        <w:rPr>
          <w:rFonts w:hint="eastAsia" w:ascii="仿宋_GB2312" w:hAnsi="宋体" w:eastAsia="仿宋_GB2312"/>
          <w:sz w:val="32"/>
          <w:szCs w:val="32"/>
        </w:rPr>
        <w:t>预算资金为5万元，到位资金5万元，使用资金5万元。</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项目财务管理制度建设</w:t>
      </w:r>
      <w:r>
        <w:rPr>
          <w:rFonts w:hint="eastAsia" w:ascii="仿宋_GB2312" w:hAnsi="宋体" w:eastAsia="仿宋_GB2312"/>
          <w:sz w:val="32"/>
          <w:szCs w:val="32"/>
        </w:rPr>
        <w:t>完善</w:t>
      </w:r>
      <w:r>
        <w:rPr>
          <w:rFonts w:hint="eastAsia" w:ascii="仿宋_GB2312" w:hAnsi="宋体" w:eastAsia="仿宋_GB2312"/>
          <w:sz w:val="32"/>
          <w:szCs w:val="32"/>
          <w:lang w:val="zh-CN"/>
        </w:rPr>
        <w:t>、机构设置</w:t>
      </w:r>
      <w:r>
        <w:rPr>
          <w:rFonts w:hint="eastAsia" w:ascii="仿宋_GB2312" w:hAnsi="宋体" w:eastAsia="仿宋_GB2312"/>
          <w:sz w:val="32"/>
          <w:szCs w:val="32"/>
        </w:rPr>
        <w:t>健全</w:t>
      </w:r>
      <w:r>
        <w:rPr>
          <w:rFonts w:hint="eastAsia" w:ascii="仿宋_GB2312" w:hAnsi="宋体" w:eastAsia="仿宋_GB2312"/>
          <w:sz w:val="32"/>
          <w:szCs w:val="32"/>
          <w:lang w:val="zh-CN"/>
        </w:rPr>
        <w:t>、会计核算及账务处理</w:t>
      </w:r>
      <w:r>
        <w:rPr>
          <w:rFonts w:hint="eastAsia" w:ascii="仿宋_GB2312" w:hAnsi="宋体" w:eastAsia="仿宋_GB2312"/>
          <w:sz w:val="32"/>
          <w:szCs w:val="32"/>
        </w:rPr>
        <w:t>都按相关规定执行</w:t>
      </w:r>
      <w:r>
        <w:rPr>
          <w:rFonts w:hint="eastAsia" w:ascii="仿宋_GB2312" w:hAnsi="宋体" w:eastAsia="仿宋_GB2312"/>
          <w:sz w:val="32"/>
          <w:szCs w:val="32"/>
          <w:lang w:val="zh-CN"/>
        </w:rPr>
        <w:t>。对照项目资金管理办法，</w:t>
      </w:r>
      <w:r>
        <w:rPr>
          <w:rFonts w:hint="eastAsia" w:ascii="仿宋_GB2312" w:hAnsi="宋体" w:eastAsia="仿宋_GB2312"/>
          <w:sz w:val="32"/>
          <w:szCs w:val="32"/>
        </w:rPr>
        <w:t>项</w:t>
      </w:r>
      <w:r>
        <w:rPr>
          <w:rFonts w:hint="eastAsia" w:ascii="仿宋_GB2312" w:hAnsi="宋体" w:eastAsia="仿宋_GB2312"/>
          <w:sz w:val="32"/>
          <w:szCs w:val="32"/>
          <w:lang w:val="zh-CN"/>
        </w:rPr>
        <w:t>目严格执行财务管理制度、财务处理及时、会计核算规范。</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项目实施工作由办公室相关项目经办人员、负责人开展，其他部室配合完成。</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rPr>
        <w:t>三、项目绩效情况</w:t>
      </w:r>
      <w:r>
        <w:rPr>
          <w:rFonts w:hint="eastAsia" w:ascii="仿宋_GB2312" w:hAnsi="宋体" w:eastAsia="仿宋_GB2312"/>
          <w:sz w:val="32"/>
          <w:szCs w:val="32"/>
          <w:lang w:val="zh-CN"/>
        </w:rPr>
        <w:tab/>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项目绩效目标编制要素完整，绩效指标做到了细化量化。年初项目绩效目标编制较为科学准确，项目实际完成度较高。</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预期绩效目标偏离度较小，实际完成达到了预期指标。年初预算数与决算数无偏差，预算执行进度在6、9、11月达到序时进度17.4%、34.66%、39.46%的要求，12月预算执行进度达到了100%。没有出现过部门预算管理方面违纪违规问题。按要求将相关绩效信息随同决算进行了公开。在规定时间内向财政部门反馈了应用绩效结果报告。</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慰问扶助资金的拨付让广大群众真真切切感受到了党和国家对困难群众的关心关爱，激发了困难群众的生活信心，也激励了她们的努力摆脱贫困的决心，慰问物资的发放，让他们感受到了来自妇女娘家的关怀，让她们在脱贫一线更加斗志昂扬，为我州强基固本、凝聚人心起到了非常重要的作用。</w:t>
      </w:r>
    </w:p>
    <w:p>
      <w:pPr>
        <w:adjustRightInd w:val="0"/>
        <w:snapToGrid w:val="0"/>
        <w:spacing w:line="560" w:lineRule="exact"/>
        <w:ind w:firstLine="720"/>
        <w:rPr>
          <w:rFonts w:ascii="仿宋_GB2312" w:hAnsi="宋体" w:eastAsia="仿宋_GB2312"/>
          <w:sz w:val="32"/>
          <w:szCs w:val="32"/>
        </w:rPr>
      </w:pPr>
      <w:r>
        <w:rPr>
          <w:rFonts w:hint="eastAsia" w:ascii="仿宋_GB2312" w:hAnsi="宋体" w:eastAsia="仿宋_GB2312"/>
          <w:sz w:val="32"/>
          <w:szCs w:val="32"/>
        </w:rPr>
        <w:t>四、问题及建议</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snapToGrid w:val="0"/>
        <w:spacing w:line="600" w:lineRule="exact"/>
        <w:rPr>
          <w:rFonts w:ascii="仿宋_GB2312" w:hAnsi="宋体" w:eastAsia="仿宋_GB2312"/>
          <w:sz w:val="32"/>
          <w:szCs w:val="32"/>
        </w:rPr>
      </w:pPr>
      <w:r>
        <w:rPr>
          <w:rFonts w:hint="eastAsia" w:ascii="仿宋_GB2312" w:hAnsi="仿宋_GB2312" w:eastAsia="仿宋_GB2312" w:cs="仿宋_GB2312"/>
          <w:sz w:val="32"/>
          <w:szCs w:val="32"/>
        </w:rPr>
        <w:t>项目资金使用范围较窄，存在年底突击使用资金情况。</w:t>
      </w:r>
    </w:p>
    <w:p>
      <w:pPr>
        <w:adjustRightInd w:val="0"/>
        <w:snapToGrid w:val="0"/>
        <w:spacing w:line="560" w:lineRule="exact"/>
        <w:ind w:firstLine="706" w:firstLineChars="220"/>
        <w:rPr>
          <w:rFonts w:ascii="仿宋_GB2312" w:hAnsi="宋体" w:eastAsia="仿宋_GB2312"/>
          <w:b/>
          <w:sz w:val="32"/>
          <w:szCs w:val="32"/>
          <w:lang w:val="zh-CN"/>
        </w:rPr>
      </w:pPr>
      <w:r>
        <w:rPr>
          <w:rFonts w:hint="eastAsia" w:ascii="楷体_GB2312" w:hAnsi="宋体" w:eastAsia="楷体_GB2312"/>
          <w:b/>
          <w:sz w:val="32"/>
          <w:szCs w:val="32"/>
          <w:lang w:val="zh-CN"/>
        </w:rPr>
        <w:t>（二）相关建议</w:t>
      </w:r>
      <w:r>
        <w:rPr>
          <w:rFonts w:hint="eastAsia" w:ascii="仿宋_GB2312" w:hAnsi="宋体" w:eastAsia="仿宋_GB2312"/>
          <w:b/>
          <w:sz w:val="32"/>
          <w:szCs w:val="32"/>
          <w:lang w:val="zh-CN"/>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按预算执行进度要求使用资金。</w:t>
      </w:r>
    </w:p>
    <w:p>
      <w:pPr>
        <w:snapToGrid w:val="0"/>
        <w:spacing w:line="600" w:lineRule="exact"/>
        <w:ind w:firstLine="640" w:firstLineChars="200"/>
        <w:rPr>
          <w:rFonts w:ascii="仿宋_GB2312" w:hAnsi="仿宋_GB2312" w:eastAsia="仿宋_GB2312" w:cs="仿宋_GB2312"/>
          <w:sz w:val="32"/>
          <w:szCs w:val="32"/>
        </w:rPr>
      </w:pPr>
    </w:p>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pStyle w:val="35"/>
        <w:spacing w:line="560" w:lineRule="exact"/>
        <w:jc w:val="center"/>
        <w:rPr>
          <w:rFonts w:ascii="楷体_GB2312" w:hAnsi="宋体" w:eastAsia="楷体_GB2312"/>
          <w:color w:val="auto"/>
          <w:kern w:val="2"/>
          <w:sz w:val="32"/>
          <w:szCs w:val="32"/>
        </w:rPr>
      </w:pPr>
      <w:r>
        <w:rPr>
          <w:rFonts w:hint="eastAsia" w:ascii="楷体_GB2312" w:hAnsi="宋体" w:eastAsia="楷体_GB2312"/>
          <w:color w:val="auto"/>
          <w:kern w:val="2"/>
          <w:sz w:val="32"/>
          <w:szCs w:val="32"/>
        </w:rPr>
        <w:t>（</w:t>
      </w:r>
      <w:r>
        <w:rPr>
          <w:rFonts w:hint="eastAsia" w:ascii="楷体_GB2312" w:hAnsi="楷体_GB2312" w:eastAsia="楷体_GB2312" w:cs="楷体_GB2312"/>
          <w:b/>
          <w:bCs/>
          <w:sz w:val="32"/>
          <w:szCs w:val="32"/>
          <w:lang w:val="en-US"/>
        </w:rPr>
        <w:t>贫困妇女儿童扶助工作经费</w:t>
      </w:r>
      <w:r>
        <w:rPr>
          <w:rFonts w:hint="eastAsia" w:ascii="楷体_GB2312" w:hAnsi="宋体" w:eastAsia="楷体_GB2312"/>
          <w:color w:val="auto"/>
          <w:kern w:val="2"/>
          <w:sz w:val="32"/>
          <w:szCs w:val="32"/>
        </w:rPr>
        <w:t>）</w:t>
      </w:r>
    </w:p>
    <w:tbl>
      <w:tblPr>
        <w:tblStyle w:val="17"/>
        <w:tblpPr w:leftFromText="180" w:rightFromText="180" w:vertAnchor="text" w:horzAnchor="page" w:tblpX="1281" w:tblpY="660"/>
        <w:tblOverlap w:val="never"/>
        <w:tblW w:w="9575" w:type="dxa"/>
        <w:tblInd w:w="0" w:type="dxa"/>
        <w:tblLayout w:type="fixed"/>
        <w:tblCellMar>
          <w:top w:w="0" w:type="dxa"/>
          <w:left w:w="108" w:type="dxa"/>
          <w:bottom w:w="0" w:type="dxa"/>
          <w:right w:w="108" w:type="dxa"/>
        </w:tblCellMar>
      </w:tblPr>
      <w:tblGrid>
        <w:gridCol w:w="1976"/>
        <w:gridCol w:w="117"/>
        <w:gridCol w:w="142"/>
        <w:gridCol w:w="883"/>
        <w:gridCol w:w="1635"/>
        <w:gridCol w:w="884"/>
        <w:gridCol w:w="1529"/>
        <w:gridCol w:w="2409"/>
      </w:tblGrid>
      <w:tr>
        <w:tblPrEx>
          <w:tblCellMar>
            <w:top w:w="0" w:type="dxa"/>
            <w:left w:w="108" w:type="dxa"/>
            <w:bottom w:w="0" w:type="dxa"/>
            <w:right w:w="108" w:type="dxa"/>
          </w:tblCellMar>
        </w:tblPrEx>
        <w:trPr>
          <w:trHeight w:val="254" w:hRule="atLeast"/>
        </w:trPr>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34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118101</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trHeight w:val="341" w:hRule="atLeast"/>
        </w:trPr>
        <w:tc>
          <w:tcPr>
            <w:tcW w:w="20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textAlignment w:val="center"/>
              <w:rPr>
                <w:rFonts w:ascii="仿宋_GB2312" w:eastAsia="仿宋_GB2312" w:cs="宋体"/>
                <w:kern w:val="0"/>
                <w:sz w:val="28"/>
                <w:szCs w:val="28"/>
              </w:rPr>
            </w:pPr>
            <w:r>
              <w:rPr>
                <w:rFonts w:hint="eastAsia" w:ascii="仿宋_GB2312" w:eastAsia="仿宋_GB2312" w:cs="宋体"/>
                <w:kern w:val="0"/>
                <w:sz w:val="28"/>
                <w:szCs w:val="28"/>
              </w:rPr>
              <w:t>项目预算</w:t>
            </w:r>
          </w:p>
          <w:p>
            <w:pPr>
              <w:widowControl/>
              <w:spacing w:line="320" w:lineRule="exact"/>
              <w:ind w:firstLine="560" w:firstLineChars="200"/>
              <w:textAlignment w:val="center"/>
              <w:rPr>
                <w:rFonts w:ascii="仿宋_GB2312" w:eastAsia="仿宋_GB2312" w:cs="宋体"/>
                <w:kern w:val="0"/>
                <w:sz w:val="28"/>
                <w:szCs w:val="28"/>
              </w:rPr>
            </w:pPr>
            <w:r>
              <w:rPr>
                <w:rFonts w:hint="eastAsia" w:ascii="仿宋_GB2312" w:eastAsia="仿宋_GB2312" w:cs="宋体"/>
                <w:kern w:val="0"/>
                <w:sz w:val="28"/>
                <w:szCs w:val="28"/>
              </w:rPr>
              <w:t>执行情况</w:t>
            </w:r>
          </w:p>
          <w:p>
            <w:pPr>
              <w:widowControl/>
              <w:spacing w:line="320" w:lineRule="exact"/>
              <w:ind w:firstLine="560" w:firstLineChars="200"/>
              <w:textAlignment w:val="center"/>
              <w:rPr>
                <w:rFonts w:ascii="仿宋_GB2312" w:eastAsia="仿宋_GB2312" w:cs="宋体"/>
                <w:sz w:val="28"/>
                <w:szCs w:val="28"/>
              </w:rPr>
            </w:pPr>
            <w:r>
              <w:rPr>
                <w:rFonts w:hint="eastAsia" w:ascii="仿宋_GB2312" w:eastAsia="仿宋_GB2312" w:cs="宋体"/>
                <w:kern w:val="0"/>
                <w:sz w:val="28"/>
                <w:szCs w:val="28"/>
              </w:rPr>
              <w:t>（万元）</w:t>
            </w:r>
          </w:p>
        </w:tc>
        <w:tc>
          <w:tcPr>
            <w:tcW w:w="26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5</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5</w:t>
            </w:r>
          </w:p>
        </w:tc>
      </w:tr>
      <w:tr>
        <w:tblPrEx>
          <w:tblCellMar>
            <w:top w:w="0" w:type="dxa"/>
            <w:left w:w="108" w:type="dxa"/>
            <w:bottom w:w="0" w:type="dxa"/>
            <w:right w:w="108" w:type="dxa"/>
          </w:tblCellMar>
        </w:tblPrEx>
        <w:trPr>
          <w:trHeight w:val="555" w:hRule="atLeast"/>
        </w:trPr>
        <w:tc>
          <w:tcPr>
            <w:tcW w:w="20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sz w:val="28"/>
                <w:szCs w:val="28"/>
              </w:rPr>
            </w:pPr>
          </w:p>
        </w:tc>
        <w:tc>
          <w:tcPr>
            <w:tcW w:w="26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5</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5</w:t>
            </w:r>
          </w:p>
        </w:tc>
      </w:tr>
      <w:tr>
        <w:tblPrEx>
          <w:tblCellMar>
            <w:top w:w="0" w:type="dxa"/>
            <w:left w:w="108" w:type="dxa"/>
            <w:bottom w:w="0" w:type="dxa"/>
            <w:right w:w="108" w:type="dxa"/>
          </w:tblCellMar>
        </w:tblPrEx>
        <w:trPr>
          <w:trHeight w:val="341" w:hRule="atLeast"/>
        </w:trPr>
        <w:tc>
          <w:tcPr>
            <w:tcW w:w="20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sz w:val="28"/>
                <w:szCs w:val="28"/>
              </w:rPr>
            </w:pPr>
          </w:p>
        </w:tc>
        <w:tc>
          <w:tcPr>
            <w:tcW w:w="26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p>
        </w:tc>
      </w:tr>
      <w:tr>
        <w:tblPrEx>
          <w:tblCellMar>
            <w:top w:w="0" w:type="dxa"/>
            <w:left w:w="108" w:type="dxa"/>
            <w:bottom w:w="0" w:type="dxa"/>
            <w:right w:w="108" w:type="dxa"/>
          </w:tblCellMar>
        </w:tblPrEx>
        <w:trPr>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w:t>
            </w:r>
          </w:p>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完成情况</w:t>
            </w:r>
          </w:p>
        </w:tc>
        <w:tc>
          <w:tcPr>
            <w:tcW w:w="36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9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trHeight w:val="90"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rPr>
            </w:pPr>
          </w:p>
        </w:tc>
        <w:tc>
          <w:tcPr>
            <w:tcW w:w="36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top"/>
              <w:rPr>
                <w:rFonts w:ascii="仿宋_GB2312" w:eastAsia="仿宋_GB2312" w:cs="宋体"/>
                <w:sz w:val="28"/>
                <w:szCs w:val="28"/>
              </w:rPr>
            </w:pPr>
            <w:r>
              <w:rPr>
                <w:rFonts w:hint="eastAsia" w:ascii="仿宋_GB2312" w:hAnsi="仿宋_GB2312" w:eastAsia="仿宋_GB2312" w:cs="仿宋_GB2312"/>
                <w:sz w:val="28"/>
                <w:szCs w:val="28"/>
              </w:rPr>
              <w:t>慰问扶助资金的拨付让广大群众真真切切感受到了党和国家对困难群众的关心关爱。</w:t>
            </w:r>
          </w:p>
        </w:tc>
        <w:tc>
          <w:tcPr>
            <w:tcW w:w="39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top"/>
              <w:rPr>
                <w:rFonts w:ascii="仿宋_GB2312" w:eastAsia="仿宋_GB2312" w:cs="宋体"/>
                <w:sz w:val="28"/>
                <w:szCs w:val="28"/>
              </w:rPr>
            </w:pPr>
            <w:r>
              <w:rPr>
                <w:rFonts w:hint="eastAsia" w:ascii="仿宋_GB2312" w:hAnsi="仿宋_GB2312" w:eastAsia="仿宋_GB2312" w:cs="仿宋_GB2312"/>
                <w:sz w:val="28"/>
                <w:szCs w:val="28"/>
              </w:rPr>
              <w:t>慰问扶助资金的拨付让广大群众真真切切感受到了党和国家对困难群众的关心关爱。</w:t>
            </w:r>
          </w:p>
        </w:tc>
      </w:tr>
      <w:tr>
        <w:tblPrEx>
          <w:tblCellMar>
            <w:top w:w="0" w:type="dxa"/>
            <w:left w:w="108" w:type="dxa"/>
            <w:bottom w:w="0" w:type="dxa"/>
            <w:right w:w="108" w:type="dxa"/>
          </w:tblCellMar>
        </w:tblPrEx>
        <w:trPr>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gridSpan w:val="3"/>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trHeight w:val="86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ascii="仿宋_GB2312" w:eastAsia="仿宋_GB2312"/>
              </w:rPr>
            </w:pPr>
          </w:p>
        </w:tc>
        <w:tc>
          <w:tcPr>
            <w:tcW w:w="11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求助人员覆盖面</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40-70人</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100%</w:t>
            </w:r>
          </w:p>
        </w:tc>
      </w:tr>
      <w:tr>
        <w:tblPrEx>
          <w:tblCellMar>
            <w:top w:w="0" w:type="dxa"/>
            <w:left w:w="108" w:type="dxa"/>
            <w:bottom w:w="0" w:type="dxa"/>
            <w:right w:w="108" w:type="dxa"/>
          </w:tblCellMar>
        </w:tblPrEx>
        <w:trPr>
          <w:trHeight w:val="3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ascii="仿宋_GB2312" w:eastAsia="仿宋_GB2312"/>
              </w:rPr>
            </w:pPr>
          </w:p>
        </w:tc>
        <w:tc>
          <w:tcPr>
            <w:tcW w:w="11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1年</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2021年</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2021年完成</w:t>
            </w:r>
          </w:p>
        </w:tc>
      </w:tr>
      <w:tr>
        <w:tblPrEx>
          <w:tblCellMar>
            <w:top w:w="0" w:type="dxa"/>
            <w:left w:w="108" w:type="dxa"/>
            <w:bottom w:w="0" w:type="dxa"/>
            <w:right w:w="108" w:type="dxa"/>
          </w:tblCellMar>
        </w:tblPrEx>
        <w:trPr>
          <w:trHeight w:val="44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ascii="仿宋_GB2312" w:eastAsia="仿宋_GB2312"/>
              </w:rPr>
            </w:pPr>
          </w:p>
        </w:tc>
        <w:tc>
          <w:tcPr>
            <w:tcW w:w="11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财政拨入经费</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5万</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100%</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ascii="仿宋_GB2312" w:eastAsia="仿宋_GB2312"/>
              </w:rPr>
            </w:pPr>
          </w:p>
        </w:tc>
        <w:tc>
          <w:tcPr>
            <w:tcW w:w="11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社会效益指标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解决低收入妇女儿童困难</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让她们感受到党和妇联“娘家人”的温暖</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降低返贫人员数量</w:t>
            </w:r>
          </w:p>
        </w:tc>
      </w:tr>
      <w:tr>
        <w:tblPrEx>
          <w:tblCellMar>
            <w:top w:w="0" w:type="dxa"/>
            <w:left w:w="108" w:type="dxa"/>
            <w:bottom w:w="0" w:type="dxa"/>
            <w:right w:w="108" w:type="dxa"/>
          </w:tblCellMar>
        </w:tblPrEx>
        <w:trPr>
          <w:trHeight w:val="1043"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ascii="仿宋_GB2312" w:eastAsia="仿宋_GB2312"/>
              </w:rPr>
            </w:pPr>
          </w:p>
        </w:tc>
        <w:tc>
          <w:tcPr>
            <w:tcW w:w="11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w:t>
            </w:r>
          </w:p>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受益人员满意度</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90%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sz w:val="28"/>
                <w:szCs w:val="28"/>
              </w:rPr>
              <w:t>90%</w:t>
            </w:r>
          </w:p>
        </w:tc>
      </w:tr>
    </w:tbl>
    <w:p>
      <w:pPr>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2021年度部门预算项目支出绩效自评报告</w:t>
      </w:r>
    </w:p>
    <w:p>
      <w:pPr>
        <w:tabs>
          <w:tab w:val="left" w:pos="3885"/>
        </w:tabs>
        <w:snapToGrid w:val="0"/>
        <w:spacing w:line="600" w:lineRule="exact"/>
        <w:jc w:val="center"/>
        <w:rPr>
          <w:rFonts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（100万妇女居家灵活就业项目）</w:t>
      </w:r>
    </w:p>
    <w:p>
      <w:pPr>
        <w:tabs>
          <w:tab w:val="left" w:pos="3885"/>
        </w:tabs>
        <w:snapToGrid w:val="0"/>
        <w:spacing w:line="600" w:lineRule="exact"/>
        <w:ind w:firstLine="642" w:firstLineChars="200"/>
        <w:jc w:val="left"/>
        <w:rPr>
          <w:rFonts w:ascii="宋体" w:hAnsi="宋体" w:eastAsia="仿宋_GB2312"/>
          <w:b/>
          <w:sz w:val="32"/>
          <w:szCs w:val="21"/>
        </w:rPr>
      </w:pPr>
    </w:p>
    <w:p>
      <w:pPr>
        <w:numPr>
          <w:ilvl w:val="0"/>
          <w:numId w:val="3"/>
        </w:numPr>
        <w:tabs>
          <w:tab w:val="left" w:pos="3885"/>
        </w:tabs>
        <w:snapToGrid w:val="0"/>
        <w:spacing w:line="600" w:lineRule="exact"/>
        <w:ind w:firstLine="640" w:firstLineChars="200"/>
        <w:jc w:val="left"/>
        <w:rPr>
          <w:rFonts w:ascii="黑体" w:eastAsia="黑体"/>
          <w:sz w:val="32"/>
          <w:szCs w:val="21"/>
        </w:rPr>
      </w:pPr>
      <w:r>
        <w:rPr>
          <w:rFonts w:hint="eastAsia" w:ascii="黑体" w:eastAsia="黑体"/>
          <w:sz w:val="32"/>
          <w:szCs w:val="21"/>
        </w:rPr>
        <w:t>项目概况</w:t>
      </w:r>
    </w:p>
    <w:p>
      <w:pPr>
        <w:snapToGrid w:val="0"/>
        <w:spacing w:line="60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2021年州政府支持州级妇女居家灵活就业专项扶持经费100万元,</w:t>
      </w:r>
      <w:r>
        <w:rPr>
          <w:rFonts w:hint="eastAsia" w:ascii="仿宋_GB2312" w:hAnsi="仿宋_GB2312" w:eastAsia="仿宋_GB2312" w:cs="仿宋_GB2312"/>
          <w:spacing w:val="15"/>
          <w:kern w:val="0"/>
          <w:sz w:val="32"/>
          <w:szCs w:val="32"/>
        </w:rPr>
        <w:t>按照《阿坝州州级妇女居家灵活就业项目专项资金管理办法（暂行）》、《阿坝州妇女联合会项目管理办法》的要求，</w:t>
      </w:r>
      <w:r>
        <w:rPr>
          <w:rFonts w:hint="eastAsia" w:ascii="仿宋_GB2312" w:eastAsia="仿宋_GB2312" w:cs="仿宋_GB2312"/>
          <w:color w:val="000000"/>
          <w:sz w:val="32"/>
          <w:szCs w:val="32"/>
        </w:rPr>
        <w:t>将100万元用于支持马尔康市火苗嘉绒织绣专业合作社、小金县抚边乡粮台村生态蔬菜种植项目等10个妇女居家灵活就业基地。资金使用符合专项资金管理办法，各项目均按照项目申报内容具体实施，申报目标合理可行。</w:t>
      </w:r>
    </w:p>
    <w:p>
      <w:pPr>
        <w:snapToGrid w:val="0"/>
        <w:spacing w:line="600" w:lineRule="exact"/>
        <w:ind w:firstLine="640" w:firstLineChars="200"/>
        <w:rPr>
          <w:rFonts w:ascii="仿宋_GB2312" w:eastAsia="仿宋_GB2312" w:cs="仿宋_GB2312"/>
          <w:color w:val="000000"/>
          <w:sz w:val="32"/>
          <w:szCs w:val="32"/>
        </w:rPr>
      </w:pPr>
      <w:r>
        <w:rPr>
          <w:rFonts w:hint="eastAsia" w:ascii="黑体" w:eastAsia="黑体" w:cs="黑体"/>
          <w:sz w:val="32"/>
          <w:szCs w:val="21"/>
        </w:rPr>
        <w:t>二、项目实施及管理情况</w:t>
      </w:r>
    </w:p>
    <w:p>
      <w:pPr>
        <w:overflowPunct w:val="0"/>
        <w:adjustRightInd w:val="0"/>
        <w:snapToGrid w:val="0"/>
        <w:spacing w:line="360" w:lineRule="auto"/>
        <w:ind w:firstLine="640" w:firstLineChars="200"/>
        <w:textAlignment w:val="baseline"/>
        <w:rPr>
          <w:rFonts w:ascii="仿宋_GB2312" w:eastAsia="仿宋_GB2312"/>
          <w:sz w:val="32"/>
          <w:szCs w:val="32"/>
        </w:rPr>
      </w:pPr>
      <w:r>
        <w:rPr>
          <w:rFonts w:hint="eastAsia" w:ascii="仿宋_GB2312" w:eastAsia="仿宋_GB2312"/>
          <w:sz w:val="32"/>
          <w:szCs w:val="32"/>
        </w:rPr>
        <w:t>2021年</w:t>
      </w:r>
      <w:r>
        <w:rPr>
          <w:rFonts w:hint="eastAsia" w:ascii="仿宋_GB2312" w:eastAsia="仿宋_GB2312" w:cs="仿宋_GB2312"/>
          <w:color w:val="000000"/>
          <w:sz w:val="32"/>
          <w:szCs w:val="32"/>
        </w:rPr>
        <w:t>州级财政下达资金100万元，已全部到位。为加强妇女居家灵活就业项目、基地的规范化管理工作，州妇联采取购买服务的方式实施项目代管、项目督查、评审、咨询、项目管理培训工作、并由分管领导带队开展项目、基地全覆盖督导调研。</w:t>
      </w:r>
      <w:r>
        <w:rPr>
          <w:rFonts w:hint="eastAsia" w:ascii="仿宋_GB2312" w:eastAsia="仿宋_GB2312"/>
          <w:sz w:val="32"/>
          <w:szCs w:val="32"/>
        </w:rPr>
        <w:t>通过各县（市）报送的妇女居家灵活就业项目，全州共储备19个妇女居家灵活就业项目。我会通过专家评审、党组会审议通过决定对10个妇女居家灵活就业项目进行扶持，包括1.马尔康市火苗嘉绒织绣专业合作社；2.小金县抚边乡粮台村生态蔬菜种植项目；3.九寨沟白马文化及本土传统特色民族文化的研发创新、制作加工、生产销售的标准化建设基地；4.红原县博诺尔牦牛产品加工协会项目；5.壤塘壤巴拉觉囊非遗文化藏医药传承项目；6.理县阿菓家原产递—农旅结合电商项目；7.茂县风行家禽有限公司就业养鸡专业人员培训项目；8.壤塘高原特菜种植及初加工技能培训项目；9.黑水县阿吉古芝工艺制品有限公司基地；10.红原县亚珂牧场畜产品贸易有限责任公司。</w:t>
      </w:r>
    </w:p>
    <w:p>
      <w:pPr>
        <w:overflowPunct w:val="0"/>
        <w:adjustRightInd w:val="0"/>
        <w:snapToGrid w:val="0"/>
        <w:spacing w:line="360" w:lineRule="auto"/>
        <w:ind w:firstLine="640" w:firstLineChars="200"/>
        <w:textAlignment w:val="baseline"/>
        <w:rPr>
          <w:rFonts w:ascii="宋体" w:hAnsi="宋体" w:eastAsia="黑体"/>
          <w:sz w:val="32"/>
          <w:szCs w:val="21"/>
        </w:rPr>
      </w:pPr>
      <w:r>
        <w:rPr>
          <w:rFonts w:hint="eastAsia" w:ascii="仿宋_GB2312" w:eastAsia="仿宋_GB2312"/>
          <w:sz w:val="32"/>
          <w:szCs w:val="32"/>
        </w:rPr>
        <w:t>各项目资金支付严格按照资金管理办法规定办理，相关制度规定得到了有效执行。会计核算规范，符合会计管理要求。</w:t>
      </w:r>
      <w:r>
        <w:rPr>
          <w:rFonts w:hint="eastAsia" w:ascii="仿宋_GB2312" w:hAnsi="宋体" w:eastAsia="仿宋_GB2312" w:cs="宋体"/>
          <w:kern w:val="0"/>
          <w:sz w:val="32"/>
          <w:szCs w:val="32"/>
          <w:lang w:val="zh-CN"/>
        </w:rPr>
        <w:t>按照专项资金管理办法要求，认真做好项目支出审核及项目资金分配调整工作。截至评价报告日，项目的实施内容已完成。</w:t>
      </w:r>
    </w:p>
    <w:p>
      <w:pPr>
        <w:snapToGrid w:val="0"/>
        <w:spacing w:line="600" w:lineRule="exact"/>
        <w:ind w:firstLine="640" w:firstLineChars="200"/>
        <w:rPr>
          <w:rFonts w:ascii="黑体" w:eastAsia="黑体" w:cs="黑体"/>
          <w:bCs/>
          <w:sz w:val="32"/>
          <w:szCs w:val="21"/>
        </w:rPr>
      </w:pPr>
      <w:r>
        <w:rPr>
          <w:rFonts w:hint="eastAsia" w:ascii="黑体" w:eastAsia="黑体" w:cs="黑体"/>
          <w:bCs/>
          <w:sz w:val="32"/>
          <w:szCs w:val="21"/>
        </w:rPr>
        <w:t>三、绩效评价分析</w:t>
      </w:r>
    </w:p>
    <w:p>
      <w:pPr>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目前，各项目均已按期完成，实现了相应绩效，达到了预期目标。</w:t>
      </w:r>
      <w:r>
        <w:rPr>
          <w:rFonts w:hint="eastAsia" w:ascii="仿宋_GB2312" w:eastAsia="仿宋_GB2312" w:cs="仿宋_GB2312"/>
          <w:color w:val="000000"/>
          <w:sz w:val="32"/>
          <w:szCs w:val="32"/>
        </w:rPr>
        <w:t>评选扶持州级妇女居家灵活就业示范基地10个，选树女性致富带头人10名，辐射带动2000余名妇女实现增收5000-30000万。多年的扶持</w:t>
      </w:r>
      <w:r>
        <w:rPr>
          <w:rFonts w:hint="eastAsia" w:ascii="仿宋_GB2312" w:eastAsia="仿宋_GB2312"/>
          <w:sz w:val="32"/>
          <w:szCs w:val="32"/>
        </w:rPr>
        <w:t>使</w:t>
      </w:r>
      <w:r>
        <w:rPr>
          <w:rFonts w:hint="eastAsia" w:ascii="仿宋_GB2312" w:eastAsia="仿宋_GB2312" w:cs="仿宋_GB2312"/>
          <w:color w:val="000000"/>
          <w:sz w:val="32"/>
          <w:szCs w:val="32"/>
        </w:rPr>
        <w:t>我州妇女居家灵活就业从羌绣一枝独秀,发展为毛毡、藏织藏装、种养殖、电商、陶艺等百花齐放。</w:t>
      </w:r>
    </w:p>
    <w:p>
      <w:pPr>
        <w:snapToGrid w:val="0"/>
        <w:spacing w:line="600" w:lineRule="exact"/>
        <w:ind w:firstLine="640" w:firstLineChars="200"/>
        <w:rPr>
          <w:rFonts w:ascii="黑体" w:eastAsia="黑体"/>
          <w:sz w:val="32"/>
          <w:szCs w:val="21"/>
        </w:rPr>
      </w:pPr>
      <w:r>
        <w:rPr>
          <w:rFonts w:hint="eastAsia" w:ascii="黑体" w:eastAsia="黑体"/>
          <w:sz w:val="32"/>
          <w:szCs w:val="21"/>
        </w:rPr>
        <w:t>四、存在主要问题</w:t>
      </w:r>
    </w:p>
    <w:p>
      <w:pPr>
        <w:snapToGrid w:val="0"/>
        <w:spacing w:line="60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各县（市）扶持项目都存在因环境、自然条件、疫情等因素，项目实施进度缓慢等情况，但实施方在遵守疫情防控的情况下，加速了项目的实施进度。</w:t>
      </w:r>
    </w:p>
    <w:p>
      <w:pPr>
        <w:numPr>
          <w:ilvl w:val="0"/>
          <w:numId w:val="4"/>
        </w:numPr>
        <w:snapToGrid w:val="0"/>
        <w:spacing w:line="600" w:lineRule="exact"/>
        <w:ind w:firstLine="640" w:firstLineChars="200"/>
        <w:rPr>
          <w:rFonts w:ascii="黑体" w:eastAsia="黑体"/>
          <w:sz w:val="32"/>
          <w:szCs w:val="21"/>
        </w:rPr>
      </w:pPr>
      <w:r>
        <w:rPr>
          <w:rFonts w:hint="eastAsia" w:ascii="黑体" w:eastAsia="黑体"/>
          <w:sz w:val="32"/>
          <w:szCs w:val="21"/>
        </w:rPr>
        <w:t>相关措施建议</w:t>
      </w:r>
    </w:p>
    <w:p>
      <w:pPr>
        <w:snapToGrid w:val="0"/>
        <w:spacing w:line="60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对因特殊情况无法实施的妇女居家灵活就业项目，适时进行调整变更。对扶持项目加快资金的拨付，及时兑现资金。按时开展全覆盖督导、调研，确保项目绩效。加大对各示范项目的宣传力度，进一步发挥示范引领作用。</w:t>
      </w:r>
    </w:p>
    <w:p>
      <w:pPr>
        <w:rPr>
          <w:rFonts w:ascii="仿宋_GB2312" w:eastAsia="仿宋_GB2312" w:cs="仿宋_GB2312"/>
          <w:sz w:val="32"/>
          <w:szCs w:val="32"/>
        </w:rPr>
      </w:pP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tabs>
                <w:tab w:val="left" w:pos="3885"/>
              </w:tabs>
              <w:snapToGrid w:val="0"/>
              <w:spacing w:line="600" w:lineRule="exact"/>
              <w:jc w:val="center"/>
              <w:rPr>
                <w:rFonts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（100万妇女居家灵活就业项目）</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仿宋_GB2312" w:eastAsia="仿宋_GB2312" w:cs="宋体"/>
                <w:sz w:val="28"/>
                <w:szCs w:val="28"/>
              </w:rPr>
              <w:t>118101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100万</w:t>
            </w:r>
          </w:p>
        </w:tc>
      </w:tr>
      <w:tr>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w:t>
            </w:r>
          </w:p>
          <w:p>
            <w:pPr>
              <w:widowControl/>
              <w:spacing w:line="320" w:lineRule="exact"/>
              <w:jc w:val="center"/>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w:t>
            </w:r>
          </w:p>
          <w:p>
            <w:pPr>
              <w:widowControl/>
              <w:spacing w:line="320" w:lineRule="exact"/>
              <w:jc w:val="center"/>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100万</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rPr>
              <w:t>评选扶持州级妇女居家灵活就业示范基地10个，选树女性致富带头人10名，辐射带动2000余名妇女实现增收5000-30000万。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rPr>
              <w:t>达到了预期目标。各项目资金使用符合专项资金管理办法，各项目均按照项目申报内容具体实施。</w:t>
            </w:r>
          </w:p>
        </w:tc>
      </w:tr>
      <w:tr>
        <w:trPr>
          <w:gridAfter w:val="1"/>
          <w:wAfter w:w="236" w:type="dxa"/>
          <w:trHeight w:val="693"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评选扶持一批州级妇女居家灵活就业示范基地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10个</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投入资金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100万元</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100%</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辐射带动妇女增收</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辐射带动2000余名妇女实现增收5000-30000万</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完成</w:t>
            </w:r>
          </w:p>
        </w:tc>
      </w:tr>
    </w:tbl>
    <w:p>
      <w:pPr>
        <w:rPr>
          <w:rFonts w:ascii="仿宋_GB2312" w:eastAsia="仿宋_GB2312" w:cs="仿宋_GB2312"/>
          <w:sz w:val="32"/>
          <w:szCs w:val="32"/>
        </w:rPr>
        <w:sectPr>
          <w:pgSz w:w="11906" w:h="16838"/>
          <w:pgMar w:top="1440" w:right="1800" w:bottom="1440" w:left="1800" w:header="851" w:footer="992" w:gutter="0"/>
          <w:pgNumType w:fmt="numberInDash" w:start="1"/>
          <w:cols w:space="425" w:num="1"/>
          <w:docGrid w:type="lines" w:linePitch="312" w:charSpace="0"/>
        </w:sectPr>
      </w:pPr>
    </w:p>
    <w:p>
      <w:pPr>
        <w:snapToGrid w:val="0"/>
        <w:spacing w:line="600" w:lineRule="exact"/>
        <w:rPr>
          <w:rFonts w:ascii="方正小标宋简体" w:eastAsia="方正小标宋简体"/>
          <w:sz w:val="44"/>
          <w:szCs w:val="44"/>
        </w:rPr>
      </w:pPr>
    </w:p>
    <w:p>
      <w:pPr>
        <w:snapToGrid w:val="0"/>
        <w:spacing w:line="600" w:lineRule="exact"/>
        <w:jc w:val="center"/>
        <w:rPr>
          <w:rFonts w:ascii="方正小标宋简体" w:eastAsia="方正小标宋简体"/>
          <w:sz w:val="44"/>
          <w:szCs w:val="44"/>
        </w:rPr>
      </w:pPr>
    </w:p>
    <w:p>
      <w:pPr>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2021年度部门预算项目支出绩效自评报告</w:t>
      </w:r>
    </w:p>
    <w:p>
      <w:pPr>
        <w:tabs>
          <w:tab w:val="left" w:pos="3885"/>
        </w:tabs>
        <w:snapToGrid w:val="0"/>
        <w:spacing w:line="600" w:lineRule="exact"/>
        <w:jc w:val="center"/>
        <w:rPr>
          <w:rFonts w:ascii="楷体_GB2312" w:eastAsia="楷体_GB2312"/>
          <w:b/>
          <w:sz w:val="32"/>
          <w:szCs w:val="32"/>
        </w:rPr>
      </w:pPr>
      <w:r>
        <w:rPr>
          <w:rFonts w:hint="eastAsia" w:ascii="楷体_GB2312" w:eastAsia="楷体_GB2312"/>
          <w:b/>
          <w:sz w:val="32"/>
          <w:szCs w:val="32"/>
        </w:rPr>
        <w:t>（1+N工作经费项目）</w:t>
      </w:r>
    </w:p>
    <w:p>
      <w:pPr>
        <w:tabs>
          <w:tab w:val="left" w:pos="3885"/>
        </w:tabs>
        <w:snapToGrid w:val="0"/>
        <w:spacing w:line="600" w:lineRule="exact"/>
        <w:ind w:firstLine="642" w:firstLineChars="200"/>
        <w:jc w:val="left"/>
        <w:rPr>
          <w:rFonts w:ascii="宋体" w:hAnsi="宋体" w:eastAsia="仿宋_GB2312"/>
          <w:b/>
          <w:sz w:val="32"/>
          <w:szCs w:val="21"/>
        </w:rPr>
      </w:pPr>
    </w:p>
    <w:p>
      <w:pPr>
        <w:numPr>
          <w:ilvl w:val="0"/>
          <w:numId w:val="5"/>
        </w:numPr>
        <w:tabs>
          <w:tab w:val="left" w:pos="3885"/>
        </w:tabs>
        <w:snapToGrid w:val="0"/>
        <w:spacing w:line="600" w:lineRule="exact"/>
        <w:ind w:firstLine="640"/>
        <w:jc w:val="left"/>
        <w:rPr>
          <w:rFonts w:ascii="黑体" w:eastAsia="黑体"/>
          <w:sz w:val="32"/>
          <w:szCs w:val="21"/>
        </w:rPr>
      </w:pPr>
      <w:r>
        <w:rPr>
          <w:rFonts w:hint="eastAsia" w:ascii="黑体" w:eastAsia="黑体"/>
          <w:sz w:val="32"/>
          <w:szCs w:val="21"/>
        </w:rPr>
        <w:t>项目概况</w:t>
      </w:r>
    </w:p>
    <w:p>
      <w:pPr>
        <w:tabs>
          <w:tab w:val="left" w:pos="3885"/>
        </w:tabs>
        <w:snapToGrid w:val="0"/>
        <w:spacing w:line="600" w:lineRule="exact"/>
        <w:ind w:firstLine="640" w:firstLineChars="200"/>
        <w:rPr>
          <w:rFonts w:ascii="仿宋_GB2312" w:eastAsia="仿宋_GB2312" w:cs="仿宋_GB2312"/>
          <w:sz w:val="32"/>
          <w:szCs w:val="21"/>
        </w:rPr>
      </w:pPr>
      <w:r>
        <w:rPr>
          <w:rFonts w:hint="eastAsia" w:ascii="仿宋_GB2312" w:eastAsia="仿宋_GB2312" w:cs="仿宋_GB2312"/>
          <w:sz w:val="32"/>
          <w:szCs w:val="21"/>
        </w:rPr>
        <w:t>2021年州妇联发展联络部涉及1+N工作经费项目三项：一是开展贫困患大病妇女救助工作经费9.9万元；二是</w:t>
      </w:r>
      <w:r>
        <w:rPr>
          <w:rFonts w:hint="eastAsia" w:ascii="仿宋_GB2312" w:hAnsi="仿宋_GB2312" w:eastAsia="仿宋_GB2312" w:cs="仿宋_GB2312"/>
          <w:sz w:val="32"/>
          <w:szCs w:val="32"/>
        </w:rPr>
        <w:t>举办“首届阿坝州十佳最美民宿女主人”评选经费5万元</w:t>
      </w:r>
      <w:r>
        <w:rPr>
          <w:rFonts w:hint="eastAsia" w:ascii="仿宋_GB2312" w:eastAsia="仿宋_GB2312" w:cs="仿宋_GB2312"/>
          <w:sz w:val="32"/>
          <w:szCs w:val="32"/>
        </w:rPr>
        <w:t>；三是开展净土春晖巾帼抗疫送清凉关爱活动9754元；四是</w:t>
      </w:r>
      <w:r>
        <w:rPr>
          <w:rFonts w:hint="eastAsia" w:ascii="仿宋_GB2312" w:eastAsia="仿宋_GB2312" w:cs="FZFSK--GBK1-0"/>
          <w:color w:val="000000"/>
          <w:kern w:val="0"/>
          <w:sz w:val="32"/>
          <w:szCs w:val="32"/>
        </w:rPr>
        <w:t>为进一步加强省、州级妇女居家灵活就业项目、基地的规范化管理工作</w:t>
      </w:r>
      <w:r>
        <w:rPr>
          <w:rFonts w:hint="eastAsia" w:ascii="仿宋_GB2312" w:eastAsia="仿宋_GB2312" w:cs="E-BZ"/>
          <w:color w:val="000000"/>
          <w:kern w:val="0"/>
          <w:sz w:val="32"/>
          <w:szCs w:val="32"/>
        </w:rPr>
        <w:t>，州妇联采取购买服务的方式实施项目代管工作经费2.2万元、</w:t>
      </w:r>
      <w:r>
        <w:rPr>
          <w:rFonts w:hint="eastAsia" w:ascii="仿宋_GB2312" w:eastAsia="仿宋_GB2312"/>
          <w:sz w:val="32"/>
          <w:szCs w:val="32"/>
        </w:rPr>
        <w:t>采取购买服务的方式开展项目督查、评审、咨询、项目管理培训工作1.35万元、分管领导带队开展项目、基地全覆盖督导调研差旅费2.8万元、租车费3200元。五是因承办沿黄九省巾帼论坛赴厅生态环境局等单位汇报工作产生差旅费2872元。合计：22.8326万元。</w:t>
      </w:r>
    </w:p>
    <w:p>
      <w:pPr>
        <w:numPr>
          <w:ilvl w:val="0"/>
          <w:numId w:val="5"/>
        </w:numPr>
        <w:snapToGrid w:val="0"/>
        <w:spacing w:line="600" w:lineRule="exact"/>
        <w:ind w:firstLine="640" w:firstLineChars="200"/>
        <w:rPr>
          <w:rFonts w:ascii="黑体" w:eastAsia="黑体" w:cs="黑体"/>
          <w:sz w:val="32"/>
          <w:szCs w:val="21"/>
        </w:rPr>
      </w:pPr>
      <w:r>
        <w:rPr>
          <w:rFonts w:hint="eastAsia" w:ascii="黑体" w:eastAsia="黑体" w:cs="黑体"/>
          <w:sz w:val="32"/>
          <w:szCs w:val="21"/>
        </w:rPr>
        <w:t>资金实施及管理情况</w:t>
      </w:r>
    </w:p>
    <w:p>
      <w:pPr>
        <w:snapToGrid w:val="0"/>
        <w:spacing w:line="600" w:lineRule="exact"/>
        <w:ind w:firstLine="642" w:firstLineChars="200"/>
        <w:rPr>
          <w:rFonts w:ascii="楷体_GB2312" w:eastAsia="楷体_GB2312"/>
          <w:b/>
          <w:sz w:val="32"/>
          <w:szCs w:val="32"/>
        </w:rPr>
      </w:pPr>
      <w:r>
        <w:rPr>
          <w:rFonts w:hint="eastAsia" w:ascii="楷体_GB2312" w:eastAsia="楷体_GB2312"/>
          <w:b/>
          <w:sz w:val="32"/>
          <w:szCs w:val="32"/>
        </w:rPr>
        <w:t>（一）开展贫困患大病妇女救助工作。</w:t>
      </w:r>
    </w:p>
    <w:p>
      <w:pPr>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2021年州妇联党组研究决定继续开展大病患病妇女救助工作，共救助全州村、社区贫困患大病妇女33名，发放救助资金9.9万元。通过开展救助工作切实加强了对贫困大病患病妇女的关心关爱，有效缓解患病妇女家庭因病致贫、因病返贫问题，助力巩固拓展了脱贫攻坚成果。</w:t>
      </w:r>
    </w:p>
    <w:p>
      <w:pPr>
        <w:autoSpaceDN w:val="0"/>
        <w:spacing w:line="560" w:lineRule="exact"/>
        <w:ind w:firstLine="642" w:firstLineChars="200"/>
        <w:rPr>
          <w:rFonts w:ascii="楷体_GB2312" w:eastAsia="楷体_GB2312"/>
          <w:b/>
          <w:sz w:val="32"/>
          <w:szCs w:val="32"/>
        </w:rPr>
      </w:pPr>
      <w:r>
        <w:rPr>
          <w:rFonts w:hint="eastAsia" w:ascii="楷体_GB2312" w:eastAsia="楷体_GB2312"/>
          <w:b/>
          <w:sz w:val="32"/>
          <w:szCs w:val="32"/>
        </w:rPr>
        <w:t>（二）开展“最美民宿女主人”评选活动</w:t>
      </w:r>
    </w:p>
    <w:p>
      <w:pPr>
        <w:autoSpaceDN w:val="0"/>
        <w:spacing w:line="560" w:lineRule="exact"/>
        <w:ind w:firstLine="640" w:firstLineChars="200"/>
        <w:rPr>
          <w:rFonts w:ascii="仿宋_GB2312" w:eastAsia="仿宋_GB2312" w:cs="仿宋_GB2312"/>
          <w:sz w:val="32"/>
          <w:szCs w:val="32"/>
        </w:rPr>
      </w:pPr>
      <w:r>
        <w:rPr>
          <w:rFonts w:hint="eastAsia" w:ascii="仿宋_GB2312" w:eastAsia="仿宋_GB2312" w:cs="仿宋"/>
          <w:sz w:val="32"/>
          <w:szCs w:val="32"/>
        </w:rPr>
        <w:t>由阿坝州委宣传部、阿坝州委网络安全和信息化委员会办公室、阿坝州文化体育和旅游局、阿坝州妇女联合会主办，在全州开展“净土花开新时代·阿坝巾帼展风采—寻找阿坝州首届最美民宿女主人”评选活动，经过报名推荐，初步评审，网络投票，实地走访，专家评审等阶段，最终评审出“阿坝州十佳最美民宿女主人”10名，取得了良好反响。</w:t>
      </w:r>
    </w:p>
    <w:p>
      <w:pPr>
        <w:autoSpaceDN w:val="0"/>
        <w:spacing w:line="560" w:lineRule="exact"/>
        <w:ind w:firstLine="642" w:firstLineChars="200"/>
        <w:rPr>
          <w:rFonts w:ascii="楷体_GB2312" w:eastAsia="楷体_GB2312"/>
          <w:b/>
          <w:sz w:val="32"/>
          <w:szCs w:val="32"/>
        </w:rPr>
      </w:pPr>
      <w:r>
        <w:rPr>
          <w:rFonts w:hint="eastAsia" w:ascii="楷体_GB2312" w:eastAsia="楷体_GB2312"/>
          <w:b/>
          <w:sz w:val="32"/>
          <w:szCs w:val="32"/>
        </w:rPr>
        <w:t>（三）开展“送芳菲清凉礼包”活动</w:t>
      </w:r>
    </w:p>
    <w:p>
      <w:pPr>
        <w:autoSpaceDN w:val="0"/>
        <w:spacing w:line="560" w:lineRule="exact"/>
        <w:ind w:firstLine="640" w:firstLineChars="200"/>
        <w:rPr>
          <w:rFonts w:ascii="仿宋_GB2312" w:eastAsia="仿宋_GB2312"/>
          <w:sz w:val="32"/>
          <w:szCs w:val="32"/>
        </w:rPr>
      </w:pPr>
      <w:r>
        <w:rPr>
          <w:rFonts w:hint="eastAsia" w:ascii="仿宋_GB2312" w:eastAsia="仿宋_GB2312"/>
          <w:sz w:val="32"/>
          <w:szCs w:val="32"/>
        </w:rPr>
        <w:t>为认真践行习总书记提出的要关心关爱奋战在抗疫一线的广大妇女同胞的指示要求，扎实推进“我为群众办实事”党史学习教育活动，阿坝州妇联开展了“净土春晖巾帼抗疫”——“送芳菲清凉礼包”活动，为疫情防控一线的妇女同胞送去了娘家人的关怀。</w:t>
      </w:r>
    </w:p>
    <w:p>
      <w:pPr>
        <w:snapToGrid w:val="0"/>
        <w:spacing w:line="600" w:lineRule="exact"/>
        <w:ind w:firstLine="642" w:firstLineChars="200"/>
        <w:rPr>
          <w:rFonts w:ascii="楷体_GB2312" w:eastAsia="楷体_GB2312"/>
          <w:b/>
          <w:sz w:val="32"/>
          <w:szCs w:val="32"/>
        </w:rPr>
      </w:pPr>
      <w:r>
        <w:rPr>
          <w:rFonts w:hint="eastAsia" w:ascii="楷体_GB2312" w:eastAsia="楷体_GB2312"/>
          <w:b/>
          <w:sz w:val="32"/>
          <w:szCs w:val="32"/>
        </w:rPr>
        <w:t>（四）采取购买服务的方式实施项目代管工作。</w:t>
      </w:r>
    </w:p>
    <w:p>
      <w:pPr>
        <w:snapToGrid w:val="0"/>
        <w:spacing w:line="600" w:lineRule="exact"/>
        <w:ind w:firstLine="640" w:firstLineChars="200"/>
        <w:rPr>
          <w:rFonts w:ascii="仿宋_GB2312" w:eastAsia="仿宋_GB2312"/>
          <w:sz w:val="32"/>
          <w:szCs w:val="32"/>
        </w:rPr>
      </w:pPr>
      <w:r>
        <w:rPr>
          <w:rFonts w:hint="eastAsia" w:ascii="仿宋_GB2312" w:eastAsia="仿宋_GB2312" w:cs="FZFSK--GBK1-0"/>
          <w:color w:val="000000"/>
          <w:kern w:val="0"/>
          <w:sz w:val="32"/>
          <w:szCs w:val="32"/>
        </w:rPr>
        <w:t>为进一步加强省、州级妇女居家灵活就业项目、基地的规范化管理工作</w:t>
      </w:r>
      <w:r>
        <w:rPr>
          <w:rFonts w:hint="eastAsia" w:ascii="仿宋_GB2312" w:eastAsia="仿宋_GB2312" w:cs="E-BZ"/>
          <w:color w:val="000000"/>
          <w:kern w:val="0"/>
          <w:sz w:val="32"/>
          <w:szCs w:val="32"/>
        </w:rPr>
        <w:t>，州妇联</w:t>
      </w:r>
      <w:r>
        <w:rPr>
          <w:rFonts w:hint="eastAsia" w:ascii="仿宋_GB2312" w:eastAsia="仿宋_GB2312"/>
          <w:sz w:val="32"/>
          <w:szCs w:val="32"/>
        </w:rPr>
        <w:t>根据州财政局《关于进一步加强政府采购内控管理的通知》(阿州财〔2018〕53号)、《关于印发州交通运输局等部门政府购买服务指导性目录的通知》（阿州财综〔2019〕3号）等相关文件要求</w:t>
      </w:r>
      <w:r>
        <w:rPr>
          <w:rFonts w:hint="eastAsia" w:ascii="仿宋_GB2312" w:eastAsia="仿宋_GB2312" w:cs="E-BZ"/>
          <w:color w:val="000000"/>
          <w:kern w:val="0"/>
          <w:sz w:val="32"/>
          <w:szCs w:val="32"/>
        </w:rPr>
        <w:t>，采取购买服务的方式实施项目代管工作。</w:t>
      </w:r>
      <w:r>
        <w:rPr>
          <w:rFonts w:hint="eastAsia" w:ascii="仿宋_GB2312" w:eastAsia="仿宋_GB2312"/>
          <w:sz w:val="32"/>
          <w:szCs w:val="32"/>
        </w:rPr>
        <w:t>采取购买服务的方式开展项目督查、评审、咨询、项目管理培训工作。</w:t>
      </w:r>
      <w:r>
        <w:rPr>
          <w:rFonts w:hint="eastAsia" w:ascii="仿宋_GB2312" w:eastAsia="仿宋_GB2312" w:cs="仿宋"/>
          <w:bCs/>
          <w:sz w:val="32"/>
          <w:szCs w:val="32"/>
        </w:rPr>
        <w:t>为</w:t>
      </w:r>
      <w:r>
        <w:rPr>
          <w:rFonts w:hint="eastAsia" w:ascii="仿宋_GB2312" w:eastAsia="仿宋_GB2312" w:cs="E-BZ"/>
          <w:color w:val="000000"/>
          <w:kern w:val="0"/>
          <w:sz w:val="32"/>
          <w:szCs w:val="32"/>
        </w:rPr>
        <w:t>有力推进2021年州级妇女居家灵活就业100万项目实施工作，州妇联发展部通过购买服务的形式推进2015--2020年已建基地及已实施项目进行督导检查、对2021年州级女居家灵活就业项目评审及项目管理培训、指导咨询等工作，</w:t>
      </w:r>
      <w:r>
        <w:rPr>
          <w:rFonts w:hint="eastAsia" w:ascii="仿宋_GB2312" w:eastAsia="仿宋_GB2312" w:cs="仿宋"/>
          <w:bCs/>
          <w:sz w:val="32"/>
          <w:szCs w:val="32"/>
        </w:rPr>
        <w:t>通过</w:t>
      </w:r>
      <w:r>
        <w:rPr>
          <w:rFonts w:hint="eastAsia" w:ascii="仿宋_GB2312" w:eastAsia="仿宋_GB2312"/>
          <w:sz w:val="32"/>
          <w:szCs w:val="32"/>
        </w:rPr>
        <w:t>开展项目督查、评审、咨询、项目管理培训工作</w:t>
      </w:r>
      <w:r>
        <w:rPr>
          <w:rFonts w:hint="eastAsia" w:ascii="仿宋_GB2312" w:eastAsia="仿宋_GB2312" w:cs="仿宋"/>
          <w:bCs/>
          <w:sz w:val="32"/>
          <w:szCs w:val="32"/>
        </w:rPr>
        <w:t>全面了解掌握我州已实施妇女居家灵活就业项目情况，及时发现和解决项目推进过程中存在的问题和不足，确保项目管理规范、资金使用安全并发挥最大的效益，</w:t>
      </w:r>
      <w:r>
        <w:rPr>
          <w:rFonts w:hint="eastAsia" w:ascii="仿宋_GB2312" w:eastAsia="仿宋_GB2312" w:cs="E-BZ"/>
          <w:color w:val="000000"/>
          <w:kern w:val="0"/>
          <w:sz w:val="32"/>
          <w:szCs w:val="32"/>
        </w:rPr>
        <w:t>保证各项工作顺利实施</w:t>
      </w:r>
      <w:r>
        <w:rPr>
          <w:rFonts w:hint="eastAsia" w:ascii="仿宋_GB2312" w:eastAsia="仿宋_GB2312"/>
          <w:sz w:val="32"/>
          <w:szCs w:val="32"/>
        </w:rPr>
        <w:t>。</w:t>
      </w:r>
    </w:p>
    <w:p>
      <w:pPr>
        <w:pStyle w:val="5"/>
        <w:spacing w:before="93" w:line="576" w:lineRule="exact"/>
        <w:ind w:firstLine="640" w:firstLineChars="200"/>
        <w:rPr>
          <w:sz w:val="32"/>
          <w:szCs w:val="32"/>
        </w:rPr>
      </w:pPr>
      <w:r>
        <w:rPr>
          <w:rFonts w:hint="eastAsia"/>
          <w:sz w:val="32"/>
          <w:szCs w:val="32"/>
        </w:rPr>
        <w:t>因</w:t>
      </w:r>
      <w:r>
        <w:rPr>
          <w:rFonts w:hint="eastAsia" w:cs="Arial"/>
          <w:sz w:val="32"/>
          <w:szCs w:val="32"/>
        </w:rPr>
        <w:t>承办全国妇联</w:t>
      </w:r>
      <w:r>
        <w:rPr>
          <w:rFonts w:cs="仿宋_GB2312"/>
          <w:sz w:val="32"/>
          <w:szCs w:val="32"/>
        </w:rPr>
        <w:t>黄河流域生态保护和高质量发展巾帼论坛会议</w:t>
      </w:r>
      <w:r>
        <w:rPr>
          <w:rFonts w:hint="eastAsia" w:cs="仿宋_GB2312"/>
          <w:sz w:val="32"/>
          <w:szCs w:val="32"/>
        </w:rPr>
        <w:t>，</w:t>
      </w:r>
      <w:r>
        <w:rPr>
          <w:rFonts w:hint="eastAsia"/>
          <w:sz w:val="32"/>
          <w:szCs w:val="32"/>
        </w:rPr>
        <w:t>赴省生态环境厅等单位汇报工作，产生差旅费。目前，该会议因疫情原因，延期举行。</w:t>
      </w:r>
    </w:p>
    <w:p>
      <w:pPr>
        <w:snapToGrid w:val="0"/>
        <w:spacing w:line="576" w:lineRule="exact"/>
        <w:ind w:firstLine="640" w:firstLineChars="200"/>
        <w:rPr>
          <w:rFonts w:ascii="黑体" w:eastAsia="黑体" w:cs="黑体"/>
          <w:bCs/>
          <w:sz w:val="32"/>
          <w:szCs w:val="21"/>
        </w:rPr>
      </w:pPr>
      <w:r>
        <w:rPr>
          <w:rFonts w:hint="eastAsia" w:ascii="黑体" w:eastAsia="黑体" w:cs="黑体"/>
          <w:bCs/>
          <w:sz w:val="32"/>
          <w:szCs w:val="21"/>
        </w:rPr>
        <w:t>三、绩效评价分析</w:t>
      </w:r>
    </w:p>
    <w:p>
      <w:pPr>
        <w:overflowPunct w:val="0"/>
        <w:adjustRightInd w:val="0"/>
        <w:snapToGrid w:val="0"/>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各项资金支付严格按照资金管理办法规定办理，相关制度规定得到了有效执行。会计核算规范，符合会计管理要求。</w:t>
      </w:r>
      <w:r>
        <w:rPr>
          <w:rFonts w:hint="eastAsia" w:ascii="仿宋_GB2312" w:hAnsi="宋体" w:eastAsia="仿宋_GB2312" w:cs="宋体"/>
          <w:kern w:val="0"/>
          <w:sz w:val="32"/>
          <w:szCs w:val="32"/>
          <w:lang w:val="zh-CN"/>
        </w:rPr>
        <w:t>按照专项资金管理办法要求，认真做好项目支出审核及项目资金分配调整工作。截至评价报告日，项目的实施内容已完成。</w:t>
      </w:r>
      <w:r>
        <w:rPr>
          <w:rFonts w:hint="eastAsia" w:ascii="仿宋_GB2312" w:eastAsia="仿宋_GB2312"/>
          <w:sz w:val="32"/>
          <w:szCs w:val="32"/>
        </w:rPr>
        <w:t>目前，各项目均已按期完成，实现了相应绩效，达到了预期目标。</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695"/>
        <w:gridCol w:w="1938"/>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tabs>
                <w:tab w:val="left" w:pos="3885"/>
              </w:tabs>
              <w:snapToGrid w:val="0"/>
              <w:spacing w:line="600" w:lineRule="exact"/>
              <w:jc w:val="center"/>
              <w:rPr>
                <w:rFonts w:ascii="楷体_GB2312" w:eastAsia="楷体_GB2312"/>
                <w:b/>
                <w:sz w:val="32"/>
                <w:szCs w:val="32"/>
              </w:rPr>
            </w:pPr>
            <w:r>
              <w:rPr>
                <w:rFonts w:hint="eastAsia" w:ascii="楷体_GB2312" w:eastAsia="楷体_GB2312"/>
                <w:b/>
                <w:sz w:val="32"/>
                <w:szCs w:val="32"/>
              </w:rPr>
              <w:t>（1+N工作经费项目）</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118101</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项目预算</w:t>
            </w:r>
          </w:p>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执行情况</w:t>
            </w:r>
          </w:p>
          <w:p>
            <w:pPr>
              <w:widowControl/>
              <w:spacing w:line="320" w:lineRule="exact"/>
              <w:ind w:firstLine="560" w:firstLineChars="200"/>
              <w:jc w:val="center"/>
              <w:textAlignment w:val="center"/>
              <w:rPr>
                <w:rFonts w:ascii="仿宋_GB2312" w:eastAsia="仿宋_GB2312" w:cs="宋体"/>
                <w:sz w:val="28"/>
                <w:szCs w:val="28"/>
              </w:rPr>
            </w:pPr>
            <w:r>
              <w:rPr>
                <w:rFonts w:hint="eastAsia" w:ascii="仿宋_GB2312" w:eastAsia="仿宋_GB2312" w:cs="宋体"/>
                <w:kern w:val="0"/>
                <w:sz w:val="28"/>
                <w:szCs w:val="28"/>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22.8326万</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22.8326万</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kern w:val="0"/>
                <w:sz w:val="28"/>
                <w:szCs w:val="28"/>
              </w:rPr>
            </w:pPr>
            <w:r>
              <w:rPr>
                <w:rFonts w:hint="eastAsia" w:ascii="仿宋_GB2312" w:eastAsia="仿宋_GB2312" w:cs="宋体"/>
                <w:kern w:val="0"/>
                <w:sz w:val="28"/>
                <w:szCs w:val="28"/>
              </w:rPr>
              <w:t>其中：</w:t>
            </w:r>
          </w:p>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22.8326</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kern w:val="0"/>
                <w:sz w:val="28"/>
                <w:szCs w:val="28"/>
              </w:rPr>
            </w:pPr>
            <w:r>
              <w:rPr>
                <w:rFonts w:hint="eastAsia" w:ascii="仿宋_GB2312" w:eastAsia="仿宋_GB2312" w:cs="宋体"/>
                <w:kern w:val="0"/>
                <w:sz w:val="28"/>
                <w:szCs w:val="28"/>
              </w:rPr>
              <w:t>其中：</w:t>
            </w:r>
          </w:p>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财政拨款</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22.8326万</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w:t>
            </w:r>
          </w:p>
          <w:p>
            <w:pPr>
              <w:widowControl/>
              <w:spacing w:line="320" w:lineRule="exact"/>
              <w:textAlignment w:val="center"/>
              <w:rPr>
                <w:rFonts w:ascii="仿宋_GB2312" w:eastAsia="仿宋_GB2312" w:cs="宋体"/>
                <w:sz w:val="28"/>
                <w:szCs w:val="28"/>
              </w:rPr>
            </w:pPr>
            <w:r>
              <w:rPr>
                <w:rFonts w:hint="eastAsia" w:ascii="仿宋_GB2312" w:eastAsia="仿宋_GB2312" w:cs="宋体"/>
                <w:kern w:val="0"/>
                <w:sz w:val="28"/>
                <w:szCs w:val="28"/>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_GB2312" w:eastAsia="仿宋_GB2312"/>
                <w:sz w:val="28"/>
                <w:szCs w:val="28"/>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仿宋_GB2312" w:eastAsia="仿宋_GB2312" w:cs="宋体"/>
                <w:sz w:val="28"/>
                <w:szCs w:val="28"/>
              </w:rPr>
            </w:pPr>
            <w:r>
              <w:rPr>
                <w:rFonts w:hint="eastAsia" w:ascii="仿宋_GB2312" w:eastAsia="仿宋_GB2312" w:cs="宋体"/>
                <w:sz w:val="28"/>
                <w:szCs w:val="28"/>
              </w:rPr>
              <w:t>通过购买第三方服务的方式加强各级妇女居家灵活就业项目基地建设的规范化管理，通过开展项目督导，发现项目执行中存在的风险点，提出指导性意见，督促项目按照资金管理办法和项目管理办法执行。开展贫困患大病妇女救助工作，以及业务工作。</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top"/>
              <w:rPr>
                <w:rFonts w:ascii="仿宋_GB2312" w:eastAsia="仿宋_GB2312" w:cs="宋体"/>
                <w:sz w:val="28"/>
                <w:szCs w:val="28"/>
              </w:rPr>
            </w:pPr>
            <w:r>
              <w:rPr>
                <w:rFonts w:hint="eastAsia" w:ascii="仿宋_GB2312" w:eastAsia="仿宋_GB2312" w:cs="宋体"/>
                <w:sz w:val="28"/>
                <w:szCs w:val="28"/>
              </w:rPr>
              <w:t>救助全州忖、社区患病妇女33名，每名3000元，共计9.9万元。开展基地项目代管工作、项目督查、评审、咨询、项目管理培训等工作。</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ascii="仿宋_GB2312" w:eastAsia="仿宋_GB2312" w:cs="宋体"/>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完成</w:t>
            </w:r>
          </w:p>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项目督导</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通过购买第三方服务的方式加强各级妇女居家灵活就业项目基地建设的规范化管理；在全州开展居家灵活就业项目督导</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完成</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ascii="仿宋_GB2312" w:eastAsia="仿宋_GB2312" w:cs="宋体"/>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_GB2312" w:eastAsia="仿宋_GB2312" w:cs="宋体"/>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督查意见</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针对督导项目形成督查意见书</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ascii="仿宋_GB2312" w:eastAsia="仿宋_GB2312" w:cs="宋体"/>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效益</w:t>
            </w:r>
          </w:p>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社会效益指标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帮助患病妇女家庭减轻经济负担</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让广大妇女姐妹，特别是村、社区贫困妇女群体得到关怀，将形成良好的社会反响。</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ascii="仿宋_GB2312" w:eastAsia="仿宋_GB2312" w:cs="宋体"/>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_GB2312" w:eastAsia="仿宋_GB2312" w:cs="宋体"/>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可持续影响指标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帮助患病妇女家庭减轻经济负担</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宋体"/>
                <w:sz w:val="28"/>
                <w:szCs w:val="28"/>
              </w:rPr>
            </w:pPr>
            <w:r>
              <w:rPr>
                <w:rFonts w:hint="eastAsia" w:ascii="仿宋_GB2312" w:eastAsia="仿宋_GB2312" w:cs="宋体"/>
                <w:sz w:val="28"/>
                <w:szCs w:val="28"/>
              </w:rPr>
              <w:t>对患大病妇女的持续救助，将在全社会产生对弱势妇女的关怀氛围，增强群众对妇联组织的信任度有持续影响。</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p>
        </w:tc>
      </w:tr>
    </w:tbl>
    <w:p>
      <w:pPr>
        <w:rPr>
          <w:rFonts w:ascii="宋体" w:cs="宋体"/>
          <w:sz w:val="24"/>
        </w:rPr>
      </w:pPr>
    </w:p>
    <w:p>
      <w:pPr>
        <w:pStyle w:val="5"/>
        <w:spacing w:before="93"/>
      </w:pPr>
    </w:p>
    <w:p/>
    <w:p>
      <w:pPr>
        <w:snapToGrid w:val="0"/>
        <w:spacing w:line="600" w:lineRule="exact"/>
        <w:jc w:val="center"/>
        <w:rPr>
          <w:rFonts w:ascii="华文仿宋" w:hAnsi="华文仿宋" w:eastAsia="华文仿宋" w:cs="华文仿宋"/>
          <w:sz w:val="24"/>
        </w:rPr>
      </w:pPr>
      <w:r>
        <w:rPr>
          <w:rFonts w:hint="eastAsia" w:ascii="方正小标宋简体" w:hAnsi="宋体" w:eastAsia="方正小标宋简体"/>
          <w:sz w:val="44"/>
          <w:szCs w:val="44"/>
        </w:rPr>
        <w:t>2021年专项预算项目支出绩效评价报告</w:t>
      </w:r>
    </w:p>
    <w:p>
      <w:pPr>
        <w:spacing w:line="520" w:lineRule="exact"/>
        <w:ind w:firstLine="640"/>
        <w:jc w:val="center"/>
        <w:rPr>
          <w:rFonts w:ascii="楷体_GB2312" w:hAnsi="宋体" w:eastAsia="楷体_GB2312" w:cs="宋体"/>
          <w:b/>
          <w:kern w:val="0"/>
          <w:sz w:val="32"/>
          <w:szCs w:val="32"/>
        </w:rPr>
      </w:pPr>
      <w:r>
        <w:rPr>
          <w:rFonts w:hint="eastAsia" w:ascii="楷体_GB2312" w:hAnsi="宋体" w:eastAsia="楷体_GB2312" w:cs="宋体"/>
          <w:b/>
          <w:kern w:val="0"/>
          <w:sz w:val="32"/>
          <w:szCs w:val="32"/>
        </w:rPr>
        <w:t>(州政府妇儿工委办工作经费)</w:t>
      </w:r>
    </w:p>
    <w:p>
      <w:pPr>
        <w:ind w:firstLine="704" w:firstLineChars="238"/>
        <w:jc w:val="center"/>
        <w:rPr>
          <w:rFonts w:ascii="华文仿宋" w:hAnsi="华文仿宋" w:eastAsia="华文仿宋" w:cs="华文仿宋"/>
          <w:spacing w:val="8"/>
          <w:sz w:val="28"/>
          <w:szCs w:val="28"/>
        </w:rPr>
      </w:pPr>
    </w:p>
    <w:p>
      <w:pPr>
        <w:pStyle w:val="2"/>
        <w:adjustRightInd w:val="0"/>
        <w:snapToGrid w:val="0"/>
        <w:spacing w:before="0" w:after="0" w:line="360" w:lineRule="auto"/>
        <w:ind w:firstLine="764" w:firstLineChars="238"/>
        <w:rPr>
          <w:rFonts w:ascii="黑体" w:hAnsi="黑体" w:eastAsia="黑体"/>
          <w:bCs w:val="0"/>
          <w:color w:val="000000"/>
          <w:kern w:val="2"/>
          <w:sz w:val="32"/>
          <w:szCs w:val="32"/>
          <w:lang w:val="zh-CN"/>
        </w:rPr>
      </w:pPr>
      <w:bookmarkStart w:id="66" w:name="_Toc10624068"/>
      <w:r>
        <w:rPr>
          <w:rFonts w:hint="eastAsia" w:ascii="黑体" w:hAnsi="黑体" w:eastAsia="黑体"/>
          <w:bCs w:val="0"/>
          <w:color w:val="000000"/>
          <w:kern w:val="2"/>
          <w:sz w:val="32"/>
          <w:szCs w:val="32"/>
          <w:lang w:val="zh-CN"/>
        </w:rPr>
        <w:t>一、基本情况</w:t>
      </w:r>
      <w:bookmarkEnd w:id="66"/>
      <w:bookmarkStart w:id="67" w:name="_Toc10624069"/>
    </w:p>
    <w:p>
      <w:pPr>
        <w:pStyle w:val="2"/>
        <w:adjustRightInd w:val="0"/>
        <w:snapToGrid w:val="0"/>
        <w:spacing w:before="0" w:after="0" w:line="360" w:lineRule="auto"/>
        <w:ind w:firstLine="764" w:firstLineChars="238"/>
        <w:rPr>
          <w:rFonts w:ascii="楷体_GB2312" w:hAnsi="黑体" w:eastAsia="楷体_GB2312" w:cs="仿宋_GB2312"/>
          <w:b w:val="0"/>
          <w:bCs w:val="0"/>
          <w:sz w:val="32"/>
          <w:szCs w:val="32"/>
        </w:rPr>
      </w:pPr>
      <w:r>
        <w:rPr>
          <w:rFonts w:hint="eastAsia" w:ascii="楷体_GB2312" w:eastAsia="楷体_GB2312"/>
          <w:sz w:val="32"/>
          <w:szCs w:val="32"/>
        </w:rPr>
        <w:t>（一）项目概况</w:t>
      </w:r>
      <w:bookmarkEnd w:id="67"/>
    </w:p>
    <w:p>
      <w:pPr>
        <w:adjustRightInd w:val="0"/>
        <w:snapToGrid w:val="0"/>
        <w:spacing w:line="360" w:lineRule="auto"/>
        <w:ind w:firstLine="761" w:firstLineChars="238"/>
        <w:rPr>
          <w:rFonts w:ascii="仿宋_GB2312" w:hAnsi="宋体" w:eastAsia="仿宋_GB2312" w:cs="宋体"/>
          <w:kern w:val="0"/>
          <w:sz w:val="32"/>
          <w:szCs w:val="32"/>
        </w:rPr>
      </w:pPr>
      <w:r>
        <w:rPr>
          <w:rFonts w:hint="eastAsia" w:ascii="仿宋_GB2312" w:hAnsi="宋体" w:eastAsia="仿宋_GB2312" w:cs="宋体"/>
          <w:kern w:val="0"/>
          <w:sz w:val="32"/>
          <w:szCs w:val="32"/>
        </w:rPr>
        <w:t>根据州政府安排，妇儿工委办的主要职责是协调和推动有关部门做好维护妇女儿童权益工作；协调和推动政府有关部门制定和实施妇女和儿童和发展规划以及为开展妇女儿童工作和发展妇女儿童事业提供必要的人力、物力、财力；指导、督促和检查各县（市）妇女儿童工作委员会办公室的工作。</w:t>
      </w:r>
      <w:bookmarkStart w:id="68" w:name="_Toc10624070"/>
    </w:p>
    <w:p>
      <w:pPr>
        <w:pStyle w:val="2"/>
        <w:adjustRightInd w:val="0"/>
        <w:snapToGrid w:val="0"/>
        <w:spacing w:before="0" w:after="0" w:line="360" w:lineRule="auto"/>
        <w:ind w:firstLine="764" w:firstLineChars="238"/>
        <w:rPr>
          <w:rFonts w:ascii="楷体_GB2312" w:eastAsia="楷体_GB2312"/>
          <w:sz w:val="32"/>
          <w:szCs w:val="32"/>
        </w:rPr>
      </w:pPr>
      <w:r>
        <w:rPr>
          <w:rFonts w:hint="eastAsia" w:ascii="楷体_GB2312" w:eastAsia="楷体_GB2312"/>
          <w:sz w:val="32"/>
          <w:szCs w:val="32"/>
        </w:rPr>
        <w:t>（二）项目立项依据、资金申报情况</w:t>
      </w:r>
      <w:bookmarkEnd w:id="68"/>
    </w:p>
    <w:p>
      <w:pPr>
        <w:adjustRightInd w:val="0"/>
        <w:snapToGrid w:val="0"/>
        <w:spacing w:line="360" w:lineRule="auto"/>
        <w:ind w:firstLine="761" w:firstLineChars="238"/>
        <w:rPr>
          <w:rFonts w:ascii="仿宋_GB2312" w:hAnsi="宋体" w:eastAsia="仿宋_GB2312" w:cs="宋体"/>
          <w:kern w:val="0"/>
          <w:sz w:val="32"/>
          <w:szCs w:val="32"/>
        </w:rPr>
      </w:pPr>
      <w:r>
        <w:rPr>
          <w:rFonts w:hint="eastAsia" w:ascii="仿宋_GB2312" w:hAnsi="宋体" w:eastAsia="仿宋_GB2312" w:cs="宋体"/>
          <w:kern w:val="0"/>
          <w:sz w:val="32"/>
          <w:szCs w:val="32"/>
        </w:rPr>
        <w:t>妇儿工委办工作经费实施依据是《阿坝州妇女发展纲要（2021-2030年）》和《阿坝州妇女发展纲要（2021-2030年）》申报立项。</w:t>
      </w:r>
    </w:p>
    <w:p>
      <w:pPr>
        <w:adjustRightInd w:val="0"/>
        <w:snapToGrid w:val="0"/>
        <w:spacing w:line="360" w:lineRule="auto"/>
        <w:ind w:firstLine="761" w:firstLineChars="238"/>
        <w:rPr>
          <w:rFonts w:ascii="仿宋_GB2312" w:hAnsi="宋体" w:eastAsia="仿宋_GB2312" w:cs="宋体"/>
          <w:kern w:val="0"/>
          <w:sz w:val="32"/>
          <w:szCs w:val="32"/>
        </w:rPr>
      </w:pPr>
      <w:r>
        <w:rPr>
          <w:rFonts w:hint="eastAsia" w:ascii="仿宋_GB2312" w:hAnsi="宋体" w:eastAsia="仿宋_GB2312" w:cs="宋体"/>
          <w:kern w:val="0"/>
          <w:sz w:val="32"/>
          <w:szCs w:val="32"/>
        </w:rPr>
        <w:t>妇儿工委办工作经费基本性质为业务专项经费，年度预算主要用于：1.到各县（市）开展“两纲”指导、督促和检查工作；2.开展巡诊义诊、慰问贫困妇女儿童等工作；3.完成阶段性“两纲”监测报告；4.对“两纲”监测过程中发现的重难点问题进行调研并推动解决；2022年1月，阿坝州财政局年初下达妇儿工委办工作经费10万元。</w:t>
      </w:r>
    </w:p>
    <w:p>
      <w:pPr>
        <w:pStyle w:val="2"/>
        <w:adjustRightInd w:val="0"/>
        <w:snapToGrid w:val="0"/>
        <w:spacing w:before="0" w:after="0" w:line="360" w:lineRule="auto"/>
        <w:ind w:firstLine="709"/>
        <w:rPr>
          <w:rFonts w:ascii="楷体_GB2312" w:eastAsia="楷体_GB2312"/>
          <w:sz w:val="32"/>
          <w:szCs w:val="32"/>
        </w:rPr>
      </w:pPr>
      <w:bookmarkStart w:id="69" w:name="_Toc10624071"/>
      <w:r>
        <w:rPr>
          <w:rFonts w:hint="eastAsia" w:ascii="楷体_GB2312" w:eastAsia="楷体_GB2312"/>
          <w:sz w:val="32"/>
          <w:szCs w:val="32"/>
        </w:rPr>
        <w:t>（三）项目绩效目标</w:t>
      </w:r>
      <w:bookmarkEnd w:id="69"/>
    </w:p>
    <w:p>
      <w:pPr>
        <w:pStyle w:val="4"/>
        <w:spacing w:before="93"/>
        <w:ind w:firstLine="704" w:firstLineChars="220"/>
        <w:rPr>
          <w:rFonts w:hAnsi="宋体" w:cs="宋体"/>
          <w:sz w:val="32"/>
          <w:szCs w:val="32"/>
        </w:rPr>
      </w:pPr>
      <w:r>
        <w:rPr>
          <w:rFonts w:hint="eastAsia" w:hAnsi="宋体" w:cs="宋体"/>
          <w:sz w:val="32"/>
          <w:szCs w:val="32"/>
        </w:rPr>
        <w:t>编制州妇女儿童发展纲要，并推动实施，开展监测评估。协调和推动各成员单位做好维护妇女儿童权益，实施妇女儿童发展纲要工作，开展调查研究为妇儿工委决策妇女儿童发展中的重大问题提供依据。承办全州妇女儿童工作会议、专题会、联系会、经验交流与表彰工作。指导县（市）妇儿工委办工作。负责妇儿工委日常行政事务，制定编发各类文件和简报，完成省妇儿工委办交办的其他工作。</w:t>
      </w:r>
    </w:p>
    <w:p>
      <w:pPr>
        <w:pStyle w:val="4"/>
        <w:spacing w:before="93"/>
        <w:ind w:firstLine="704" w:firstLineChars="220"/>
        <w:rPr>
          <w:rFonts w:hAnsi="宋体" w:cs="宋体"/>
          <w:sz w:val="32"/>
          <w:szCs w:val="32"/>
        </w:rPr>
      </w:pPr>
      <w:r>
        <w:rPr>
          <w:rFonts w:hint="eastAsia" w:hAnsi="宋体" w:cs="宋体"/>
          <w:sz w:val="32"/>
          <w:szCs w:val="32"/>
        </w:rPr>
        <w:t>阶段性目标：开展“两纲”终期评估督导工作，推动“两纲”的实施，对监测出的重难点问题进行调研，确保指标过到终期目标。</w:t>
      </w:r>
    </w:p>
    <w:p>
      <w:pPr>
        <w:pStyle w:val="2"/>
        <w:adjustRightInd w:val="0"/>
        <w:snapToGrid w:val="0"/>
        <w:spacing w:before="0" w:after="0" w:line="360" w:lineRule="auto"/>
        <w:ind w:firstLine="709"/>
        <w:rPr>
          <w:rFonts w:ascii="楷体_GB2312" w:eastAsia="楷体_GB2312"/>
          <w:sz w:val="32"/>
          <w:szCs w:val="32"/>
        </w:rPr>
      </w:pPr>
      <w:bookmarkStart w:id="70" w:name="_Toc10624072"/>
      <w:bookmarkStart w:id="71" w:name="_Toc9865187"/>
      <w:r>
        <w:rPr>
          <w:rFonts w:hint="eastAsia" w:ascii="楷体_GB2312" w:eastAsia="楷体_GB2312"/>
          <w:sz w:val="32"/>
          <w:szCs w:val="32"/>
        </w:rPr>
        <w:t>（四）</w:t>
      </w:r>
      <w:bookmarkEnd w:id="70"/>
      <w:bookmarkEnd w:id="71"/>
      <w:r>
        <w:rPr>
          <w:rFonts w:hint="eastAsia" w:ascii="楷体_GB2312" w:eastAsia="楷体_GB2312"/>
          <w:sz w:val="32"/>
          <w:szCs w:val="32"/>
        </w:rPr>
        <w:t>项目预期的政治和社会效益</w:t>
      </w:r>
    </w:p>
    <w:p>
      <w:pPr>
        <w:pStyle w:val="4"/>
        <w:spacing w:before="93"/>
        <w:ind w:firstLine="704" w:firstLineChars="220"/>
        <w:rPr>
          <w:rFonts w:hAnsi="宋体" w:cs="宋体"/>
          <w:sz w:val="32"/>
          <w:szCs w:val="32"/>
        </w:rPr>
      </w:pPr>
      <w:r>
        <w:rPr>
          <w:rFonts w:hint="eastAsia" w:hAnsi="宋体" w:cs="宋体"/>
          <w:sz w:val="32"/>
          <w:szCs w:val="32"/>
        </w:rPr>
        <w:t>督促“两纲”指标落实，推进妇女儿童事业发展，开创我州妇女儿童工作新局面。</w:t>
      </w:r>
    </w:p>
    <w:p>
      <w:pPr>
        <w:pStyle w:val="2"/>
        <w:adjustRightInd w:val="0"/>
        <w:snapToGrid w:val="0"/>
        <w:spacing w:before="0" w:after="0" w:line="360" w:lineRule="auto"/>
        <w:ind w:firstLine="709"/>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二、项目实施的基本情况</w:t>
      </w:r>
    </w:p>
    <w:p>
      <w:pPr>
        <w:pStyle w:val="2"/>
        <w:adjustRightInd w:val="0"/>
        <w:snapToGrid w:val="0"/>
        <w:spacing w:before="0" w:after="0" w:line="360" w:lineRule="auto"/>
        <w:ind w:firstLine="709"/>
        <w:rPr>
          <w:rFonts w:ascii="楷体_GB2312" w:eastAsia="楷体_GB2312"/>
          <w:sz w:val="32"/>
          <w:szCs w:val="32"/>
        </w:rPr>
      </w:pPr>
      <w:r>
        <w:rPr>
          <w:rFonts w:hint="eastAsia" w:ascii="楷体_GB2312" w:eastAsia="楷体_GB2312"/>
          <w:sz w:val="32"/>
          <w:szCs w:val="32"/>
        </w:rPr>
        <w:t>（一</w:t>
      </w:r>
      <w:r>
        <w:rPr>
          <w:rFonts w:ascii="楷体_GB2312" w:eastAsia="楷体_GB2312"/>
          <w:sz w:val="32"/>
          <w:szCs w:val="32"/>
        </w:rPr>
        <w:t>）</w:t>
      </w:r>
      <w:r>
        <w:rPr>
          <w:rFonts w:hint="eastAsia" w:ascii="楷体_GB2312" w:eastAsia="楷体_GB2312"/>
          <w:sz w:val="32"/>
          <w:szCs w:val="32"/>
        </w:rPr>
        <w:t>项目组织管理情况</w:t>
      </w:r>
    </w:p>
    <w:p>
      <w:pPr>
        <w:pStyle w:val="4"/>
        <w:spacing w:before="93"/>
        <w:ind w:firstLine="704" w:firstLineChars="220"/>
        <w:rPr>
          <w:sz w:val="32"/>
          <w:szCs w:val="21"/>
        </w:rPr>
      </w:pPr>
      <w:r>
        <w:rPr>
          <w:rFonts w:hint="eastAsia" w:hAnsi="宋体" w:cs="宋体"/>
          <w:sz w:val="32"/>
          <w:szCs w:val="32"/>
        </w:rPr>
        <w:t>1.</w:t>
      </w:r>
      <w:r>
        <w:rPr>
          <w:rFonts w:hint="eastAsia"/>
          <w:color w:val="000000"/>
          <w:sz w:val="32"/>
          <w:szCs w:val="32"/>
        </w:rPr>
        <w:t>全面了解2011年以来“两纲”实施情况、取得成效、存在问题和妇女儿童发展状况，做好新周期“两纲”编制基层调研工作，按照州政府妇儿工委“两纲”终期评估检查工作的总体部署和具体要求，3-</w:t>
      </w:r>
      <w:r>
        <w:rPr>
          <w:color w:val="000000"/>
          <w:sz w:val="32"/>
          <w:szCs w:val="32"/>
        </w:rPr>
        <w:t>7</w:t>
      </w:r>
      <w:r>
        <w:rPr>
          <w:rFonts w:hint="eastAsia"/>
          <w:color w:val="000000"/>
          <w:sz w:val="32"/>
          <w:szCs w:val="32"/>
        </w:rPr>
        <w:t>月，州妇儿工委办组成“两纲”评估检查组，赴13县（市）进行了实地评估检查。检查组采取听取汇报、查阅资料、座谈交流、个别走访、实地查看等方式，</w:t>
      </w:r>
      <w:r>
        <w:rPr>
          <w:rFonts w:hint="eastAsia"/>
          <w:sz w:val="32"/>
          <w:szCs w:val="21"/>
        </w:rPr>
        <w:t>深入到1</w:t>
      </w:r>
      <w:r>
        <w:rPr>
          <w:sz w:val="32"/>
          <w:szCs w:val="21"/>
        </w:rPr>
        <w:t>3</w:t>
      </w:r>
      <w:r>
        <w:rPr>
          <w:rFonts w:hint="eastAsia"/>
          <w:sz w:val="32"/>
          <w:szCs w:val="21"/>
        </w:rPr>
        <w:t>个县（市）教育局、民政局等重点指标单位、青少年法治基地、妇计中心（妇幼保健站）、乡镇卫生院、中小学校、幼儿园、儿童福利院、妇女儿童维权站点、创业就业中心、乡（镇）、村（社区）等100余个单位实地考察和调研，评估检查组向1</w:t>
      </w:r>
      <w:r>
        <w:rPr>
          <w:sz w:val="32"/>
          <w:szCs w:val="21"/>
        </w:rPr>
        <w:t>3</w:t>
      </w:r>
      <w:r>
        <w:rPr>
          <w:rFonts w:hint="eastAsia"/>
          <w:sz w:val="32"/>
          <w:szCs w:val="21"/>
        </w:rPr>
        <w:t>县（市）政府妇儿工委反馈意见建议</w:t>
      </w:r>
      <w:r>
        <w:rPr>
          <w:sz w:val="32"/>
          <w:szCs w:val="21"/>
        </w:rPr>
        <w:t>90</w:t>
      </w:r>
      <w:r>
        <w:rPr>
          <w:rFonts w:hint="eastAsia"/>
          <w:sz w:val="32"/>
          <w:szCs w:val="21"/>
        </w:rPr>
        <w:t>余条，收集新周期“两纲”编制意见建议90余条。</w:t>
      </w:r>
    </w:p>
    <w:p>
      <w:pPr>
        <w:pStyle w:val="4"/>
        <w:spacing w:before="93"/>
        <w:ind w:firstLine="704" w:firstLineChars="220"/>
        <w:rPr>
          <w:color w:val="000000"/>
          <w:sz w:val="32"/>
          <w:szCs w:val="32"/>
        </w:rPr>
      </w:pPr>
      <w:r>
        <w:rPr>
          <w:rFonts w:hint="eastAsia"/>
          <w:sz w:val="32"/>
          <w:szCs w:val="21"/>
        </w:rPr>
        <w:t>2.</w:t>
      </w:r>
      <w:r>
        <w:rPr>
          <w:rFonts w:hint="eastAsia"/>
          <w:color w:val="000000"/>
          <w:sz w:val="32"/>
          <w:szCs w:val="32"/>
        </w:rPr>
        <w:t>3月15日-4月23日，阿坝州政府妇儿工委办、阿坝州妇联、阿坝州妇计中心联合在红原、若尔盖、阿坝、壤塘四个牧区县（12个乡镇，50余个村寨，10所幼儿园，巡诊里程4000余公里）组织开展了2021年阿坝州“净土春晖送健康关爱高原母亲行”巡诊义诊活动。</w:t>
      </w:r>
    </w:p>
    <w:p>
      <w:pPr>
        <w:pStyle w:val="4"/>
        <w:spacing w:before="93"/>
        <w:ind w:firstLine="704" w:firstLineChars="220"/>
        <w:rPr>
          <w:rFonts w:hAnsi="仿宋_GB2312"/>
          <w:color w:val="000000"/>
          <w:sz w:val="32"/>
          <w:szCs w:val="32"/>
          <w:shd w:val="clear" w:color="auto" w:fill="FFFFFF"/>
        </w:rPr>
      </w:pPr>
      <w:r>
        <w:rPr>
          <w:rFonts w:hint="eastAsia"/>
          <w:color w:val="000000"/>
          <w:sz w:val="32"/>
          <w:szCs w:val="32"/>
        </w:rPr>
        <w:t>3.</w:t>
      </w:r>
      <w:r>
        <w:rPr>
          <w:rFonts w:hint="eastAsia" w:hAnsi="仿宋_GB2312" w:cs="仿宋_GB2312"/>
          <w:color w:val="000000"/>
          <w:sz w:val="32"/>
          <w:szCs w:val="32"/>
          <w:shd w:val="clear" w:color="auto" w:fill="FFFFFF"/>
        </w:rPr>
        <w:t>为做好友好型儿童之家建设，州妇儿工委办深入各县（市）就项目建设工作开展调研，对各县（市）推荐点位进行一一</w:t>
      </w:r>
      <w:r>
        <w:rPr>
          <w:rFonts w:hint="eastAsia" w:hAnsi="仿宋_GB2312"/>
          <w:color w:val="000000"/>
          <w:sz w:val="32"/>
          <w:szCs w:val="32"/>
          <w:shd w:val="clear" w:color="auto" w:fill="FFFFFF"/>
        </w:rPr>
        <w:t>实地考察，对于有一定条件、综合设施较好、服务保障到位的点位进行综合评估，集体研究确定符合项目建设的友好型儿童之家示范点，全州13县（市）确定20个创建示范点位，确保了每个县（市）至少有一个示范点，为下一步全面开展友好型儿童之家建设提供经验和模板。</w:t>
      </w:r>
    </w:p>
    <w:p>
      <w:pPr>
        <w:pStyle w:val="4"/>
        <w:spacing w:before="93"/>
        <w:ind w:firstLine="704" w:firstLineChars="220"/>
        <w:rPr>
          <w:rFonts w:hAnsi="仿宋_GB2312"/>
          <w:color w:val="000000"/>
          <w:sz w:val="32"/>
          <w:szCs w:val="32"/>
          <w:shd w:val="clear" w:color="auto" w:fill="FFFFFF"/>
        </w:rPr>
      </w:pPr>
      <w:r>
        <w:rPr>
          <w:rFonts w:hint="eastAsia" w:hAnsi="仿宋_GB2312"/>
          <w:color w:val="000000"/>
          <w:sz w:val="32"/>
          <w:szCs w:val="32"/>
          <w:shd w:val="clear" w:color="auto" w:fill="FFFFFF"/>
        </w:rPr>
        <w:t>4.完成阶段性“两纲”监测报告，部署2022年“两纲”监测统计工作，如期未完成2021年度“两纲”监测州统计报告。</w:t>
      </w:r>
    </w:p>
    <w:p>
      <w:pPr>
        <w:pStyle w:val="2"/>
        <w:adjustRightInd w:val="0"/>
        <w:snapToGrid w:val="0"/>
        <w:spacing w:before="0" w:after="0" w:line="360" w:lineRule="auto"/>
        <w:ind w:firstLine="567"/>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w:t>
      </w:r>
      <w:r>
        <w:rPr>
          <w:rFonts w:hint="eastAsia" w:ascii="楷体_GB2312" w:eastAsia="楷体_GB2312"/>
          <w:sz w:val="32"/>
          <w:szCs w:val="32"/>
        </w:rPr>
        <w:t>项目财务管理情况</w:t>
      </w:r>
    </w:p>
    <w:p>
      <w:pPr>
        <w:pStyle w:val="4"/>
        <w:spacing w:before="93"/>
        <w:ind w:firstLine="704" w:firstLineChars="220"/>
        <w:rPr>
          <w:rFonts w:hAnsi="宋体" w:cs="宋体"/>
          <w:sz w:val="32"/>
          <w:szCs w:val="32"/>
        </w:rPr>
      </w:pPr>
      <w:r>
        <w:rPr>
          <w:rFonts w:hint="eastAsia" w:hAnsi="宋体" w:cs="宋体"/>
          <w:sz w:val="32"/>
          <w:szCs w:val="32"/>
        </w:rPr>
        <w:t>2021年财政预算批复妇儿工委办工作经费10万元，占年度一般预算专项目经费总额的10%。该项目资金拨付程序规范，到位足额及时。项目执行过程中严格按照财经纪律等财务管理制度，经费纳入阿坝州财政集中支付中心审核，做到真实、完整、及时、支出审批程序严谨。2021年妇儿工委办工作经费专项支出共计99999.74元，主要是用于开展“两纲”终期评估督导工作62179.74元，用于日常办公经费37820元。</w:t>
      </w:r>
    </w:p>
    <w:p>
      <w:pPr>
        <w:pStyle w:val="2"/>
        <w:adjustRightInd w:val="0"/>
        <w:snapToGrid w:val="0"/>
        <w:spacing w:before="0" w:after="0" w:line="360" w:lineRule="auto"/>
        <w:ind w:firstLine="706" w:firstLineChars="220"/>
        <w:rPr>
          <w:rFonts w:ascii="黑体" w:hAnsi="黑体" w:eastAsia="黑体"/>
          <w:bCs w:val="0"/>
          <w:color w:val="000000"/>
          <w:kern w:val="2"/>
          <w:sz w:val="32"/>
          <w:szCs w:val="32"/>
          <w:lang w:val="zh-CN"/>
        </w:rPr>
      </w:pPr>
      <w:bookmarkStart w:id="72" w:name="_Toc10624088"/>
      <w:r>
        <w:rPr>
          <w:rFonts w:hint="eastAsia" w:ascii="黑体" w:hAnsi="黑体" w:eastAsia="黑体"/>
          <w:bCs w:val="0"/>
          <w:color w:val="000000"/>
          <w:kern w:val="2"/>
          <w:sz w:val="32"/>
          <w:szCs w:val="32"/>
          <w:lang w:val="zh-CN"/>
        </w:rPr>
        <w:t>三、</w:t>
      </w:r>
      <w:bookmarkEnd w:id="72"/>
      <w:r>
        <w:rPr>
          <w:rFonts w:hint="eastAsia" w:ascii="黑体" w:hAnsi="黑体" w:eastAsia="黑体"/>
          <w:bCs w:val="0"/>
          <w:color w:val="000000"/>
          <w:kern w:val="2"/>
          <w:sz w:val="32"/>
          <w:szCs w:val="32"/>
          <w:lang w:val="zh-CN"/>
        </w:rPr>
        <w:t>项目绩效分析</w:t>
      </w:r>
    </w:p>
    <w:p>
      <w:pPr>
        <w:pStyle w:val="2"/>
        <w:adjustRightInd w:val="0"/>
        <w:snapToGrid w:val="0"/>
        <w:spacing w:before="0" w:after="0" w:line="360" w:lineRule="auto"/>
        <w:ind w:firstLine="706" w:firstLineChars="220"/>
        <w:rPr>
          <w:rFonts w:ascii="楷体_GB2312" w:eastAsia="楷体_GB2312"/>
          <w:sz w:val="32"/>
          <w:szCs w:val="32"/>
        </w:rPr>
      </w:pPr>
      <w:r>
        <w:rPr>
          <w:rFonts w:hint="eastAsia" w:ascii="楷体_GB2312" w:eastAsia="楷体_GB2312"/>
          <w:sz w:val="32"/>
          <w:szCs w:val="32"/>
        </w:rPr>
        <w:t>（一）项目绩效评价工作开展情况</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根据妇儿工委办工作的具体要求和特点，通过对2021年妇儿工委办各项工作资料进行收集和核实，与年初计划和实际完成的工作任务和目标，与年初经费预算安排和各项经费开支，明确预算批复的项目目标完成情况，对该项目评价指标评分，该项目综合得分92分，评价等次为优。</w:t>
      </w:r>
    </w:p>
    <w:p>
      <w:pPr>
        <w:pStyle w:val="2"/>
        <w:adjustRightInd w:val="0"/>
        <w:snapToGrid w:val="0"/>
        <w:spacing w:before="0" w:after="0" w:line="360" w:lineRule="auto"/>
        <w:ind w:firstLine="706" w:firstLineChars="220"/>
        <w:rPr>
          <w:rFonts w:ascii="楷体_GB2312" w:eastAsia="楷体_GB2312"/>
          <w:sz w:val="32"/>
          <w:szCs w:val="32"/>
        </w:rPr>
      </w:pPr>
      <w:r>
        <w:rPr>
          <w:rFonts w:hint="eastAsia" w:ascii="楷体_GB2312" w:eastAsia="楷体_GB2312"/>
          <w:sz w:val="32"/>
          <w:szCs w:val="32"/>
        </w:rPr>
        <w:t>（二）项目绩效分析</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绩效目标管理满分25分，自评25分。其中，年度绩效目标任务，根据妇儿工委办的职能职责和妇儿工委办年度工作计划，得满分15分；绩效目标管理无差错，资金及时到位，项目完成及时得满分10分。</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组织管理情况满分15分，自评15分。其中，项目组织实施有计划得满分5分，管理制度健全得满分5分，制度执行有效得满分5分。</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资金管理情况满分10分，自评10分。其中，严格按照财经纪律管理项目资金，资金使用台账，有记录。严格监控资金使用得满分10分。</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项目特殊业务指标满分35分，自评30分。其中，开展终期评估督导工作得满分10分，推进“两纲”重难点问题解决得5分，开展监测统计工作得10分，开展巡诊义诊和慰问贫困妇女儿童等工作5分。</w:t>
      </w:r>
    </w:p>
    <w:p>
      <w:pPr>
        <w:overflowPunct w:val="0"/>
        <w:adjustRightInd w:val="0"/>
        <w:snapToGrid w:val="0"/>
        <w:spacing w:line="360" w:lineRule="auto"/>
        <w:ind w:firstLine="704" w:firstLineChars="22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项目经济与社会效益指标满分15分，自评12分。其中，督促指导“两纲”指标的落实，推进妇女儿童事业进一步发展，得分8分，持续关爱困境妇女和儿童，得分4分。</w:t>
      </w:r>
    </w:p>
    <w:p>
      <w:pPr>
        <w:pStyle w:val="2"/>
        <w:adjustRightInd w:val="0"/>
        <w:snapToGrid w:val="0"/>
        <w:spacing w:before="0" w:after="0" w:line="360" w:lineRule="auto"/>
        <w:ind w:firstLine="706" w:firstLineChars="220"/>
        <w:rPr>
          <w:rFonts w:ascii="黑体" w:hAnsi="黑体" w:eastAsia="黑体"/>
          <w:bCs w:val="0"/>
          <w:color w:val="000000"/>
          <w:kern w:val="2"/>
          <w:sz w:val="32"/>
          <w:szCs w:val="32"/>
          <w:lang w:val="zh-CN"/>
        </w:rPr>
      </w:pPr>
      <w:bookmarkStart w:id="73" w:name="_Toc10624089"/>
      <w:r>
        <w:rPr>
          <w:rFonts w:hint="eastAsia" w:ascii="黑体" w:hAnsi="黑体" w:eastAsia="黑体"/>
          <w:bCs w:val="0"/>
          <w:color w:val="000000"/>
          <w:kern w:val="2"/>
          <w:sz w:val="32"/>
          <w:szCs w:val="32"/>
          <w:lang w:val="zh-CN"/>
        </w:rPr>
        <w:t>四、存在的主要问题</w:t>
      </w:r>
      <w:bookmarkEnd w:id="73"/>
    </w:p>
    <w:p>
      <w:pPr>
        <w:overflowPunct w:val="0"/>
        <w:adjustRightInd w:val="0"/>
        <w:snapToGrid w:val="0"/>
        <w:spacing w:line="360" w:lineRule="auto"/>
        <w:ind w:firstLine="704" w:firstLineChars="220"/>
        <w:textAlignment w:val="baseline"/>
        <w:rPr>
          <w:rFonts w:ascii="仿宋_GB2312" w:hAnsi="宋体" w:eastAsia="仿宋_GB2312" w:cs="仿宋_GB2312"/>
          <w:bCs/>
          <w:sz w:val="32"/>
          <w:szCs w:val="32"/>
        </w:rPr>
      </w:pPr>
      <w:r>
        <w:rPr>
          <w:rFonts w:hint="eastAsia" w:ascii="仿宋_GB2312" w:hAnsi="宋体" w:eastAsia="仿宋_GB2312" w:cs="宋体"/>
          <w:kern w:val="0"/>
          <w:sz w:val="32"/>
          <w:szCs w:val="32"/>
          <w:lang w:val="zh-CN"/>
        </w:rPr>
        <w:t>州政府妇儿工委工作经费作为业务费用，用于推进妇女儿童理事业费用比较少，用于日常办公费用较多。</w:t>
      </w:r>
    </w:p>
    <w:p>
      <w:pPr>
        <w:pStyle w:val="2"/>
        <w:adjustRightInd w:val="0"/>
        <w:snapToGrid w:val="0"/>
        <w:spacing w:before="0" w:after="0" w:line="360" w:lineRule="auto"/>
        <w:ind w:firstLine="706" w:firstLineChars="220"/>
        <w:rPr>
          <w:rFonts w:ascii="黑体" w:hAnsi="黑体" w:eastAsia="黑体"/>
          <w:bCs w:val="0"/>
          <w:color w:val="000000"/>
          <w:kern w:val="2"/>
          <w:sz w:val="32"/>
          <w:szCs w:val="32"/>
          <w:lang w:val="zh-CN"/>
        </w:rPr>
      </w:pPr>
      <w:bookmarkStart w:id="74" w:name="_Toc10624090"/>
      <w:r>
        <w:rPr>
          <w:rFonts w:hint="eastAsia" w:ascii="黑体" w:hAnsi="黑体" w:eastAsia="黑体"/>
          <w:bCs w:val="0"/>
          <w:color w:val="000000"/>
          <w:kern w:val="2"/>
          <w:sz w:val="32"/>
          <w:szCs w:val="32"/>
          <w:lang w:val="zh-CN"/>
        </w:rPr>
        <w:t>五、</w:t>
      </w:r>
      <w:bookmarkEnd w:id="74"/>
      <w:r>
        <w:rPr>
          <w:rFonts w:hint="eastAsia" w:ascii="黑体" w:hAnsi="黑体" w:eastAsia="黑体"/>
          <w:bCs w:val="0"/>
          <w:color w:val="000000"/>
          <w:kern w:val="2"/>
          <w:sz w:val="32"/>
          <w:szCs w:val="32"/>
          <w:lang w:val="zh-CN"/>
        </w:rPr>
        <w:t>下一步改进工作的意见和建议</w:t>
      </w:r>
    </w:p>
    <w:p>
      <w:pPr>
        <w:pStyle w:val="34"/>
        <w:adjustRightInd w:val="0"/>
        <w:snapToGrid w:val="0"/>
        <w:spacing w:line="360" w:lineRule="auto"/>
        <w:ind w:left="420" w:firstLine="704" w:firstLineChars="220"/>
        <w:rPr>
          <w:rFonts w:ascii="仿宋_GB2312" w:eastAsia="仿宋_GB2312"/>
          <w:color w:val="auto"/>
          <w:kern w:val="0"/>
          <w:sz w:val="32"/>
          <w:szCs w:val="32"/>
          <w:lang w:eastAsia="zh-CN" w:bidi="ar-SA"/>
        </w:rPr>
      </w:pPr>
      <w:r>
        <w:rPr>
          <w:rFonts w:hint="eastAsia" w:ascii="仿宋_GB2312" w:eastAsia="仿宋_GB2312"/>
          <w:color w:val="auto"/>
          <w:kern w:val="0"/>
          <w:sz w:val="32"/>
          <w:szCs w:val="32"/>
          <w:lang w:eastAsia="zh-CN" w:bidi="ar-SA"/>
        </w:rPr>
        <w:t>统筹协调县级妇儿工委办要加大协调力度，把工作重点放在解决问题上；要加强各县（市）儿童之家示范点建设的指导、扶持和检查；进一步加强思想、组织和作风建设，不断提高全州妇女儿童工作者围绕中心、服务大局的能力，统筹规划，协调推动的能力，整合资源、团结协作的能力，努力打造一支政治强、业务精、作风实、讲奉献的妇女儿童工作队伍。</w:t>
      </w:r>
    </w:p>
    <w:p>
      <w:pPr>
        <w:pStyle w:val="34"/>
        <w:adjustRightInd w:val="0"/>
        <w:snapToGrid w:val="0"/>
        <w:spacing w:line="360" w:lineRule="auto"/>
        <w:ind w:left="420" w:firstLine="704" w:firstLineChars="220"/>
        <w:rPr>
          <w:rFonts w:ascii="仿宋_GB2312" w:eastAsia="仿宋_GB2312"/>
          <w:color w:val="auto"/>
          <w:kern w:val="0"/>
          <w:sz w:val="32"/>
          <w:szCs w:val="32"/>
          <w:lang w:eastAsia="zh-CN" w:bidi="ar-SA"/>
        </w:rPr>
      </w:pPr>
    </w:p>
    <w:tbl>
      <w:tblPr>
        <w:tblStyle w:val="17"/>
        <w:tblpPr w:leftFromText="180" w:rightFromText="180" w:vertAnchor="text" w:horzAnchor="page" w:tblpX="1281" w:tblpY="660"/>
        <w:tblOverlap w:val="never"/>
        <w:tblW w:w="0" w:type="auto"/>
        <w:tblInd w:w="0" w:type="dxa"/>
        <w:tblLayout w:type="autofit"/>
        <w:tblCellMar>
          <w:top w:w="0" w:type="dxa"/>
          <w:left w:w="108" w:type="dxa"/>
          <w:bottom w:w="0" w:type="dxa"/>
          <w:right w:w="108" w:type="dxa"/>
        </w:tblCellMar>
      </w:tblPr>
      <w:tblGrid>
        <w:gridCol w:w="517"/>
        <w:gridCol w:w="1117"/>
        <w:gridCol w:w="1437"/>
        <w:gridCol w:w="1437"/>
        <w:gridCol w:w="1273"/>
        <w:gridCol w:w="2524"/>
        <w:gridCol w:w="217"/>
      </w:tblGrid>
      <w:tr>
        <w:tblPrEx>
          <w:tblCellMar>
            <w:top w:w="0" w:type="dxa"/>
            <w:left w:w="108" w:type="dxa"/>
            <w:bottom w:w="0" w:type="dxa"/>
            <w:right w:w="108" w:type="dxa"/>
          </w:tblCellMar>
        </w:tblPrEx>
        <w:trPr>
          <w:trHeight w:val="675" w:hRule="atLeast"/>
        </w:trPr>
        <w:tc>
          <w:tcPr>
            <w:tcW w:w="0" w:type="auto"/>
            <w:gridSpan w:val="6"/>
            <w:tcBorders>
              <w:top w:val="nil"/>
              <w:left w:val="nil"/>
              <w:bottom w:val="nil"/>
              <w:right w:val="nil"/>
            </w:tcBorders>
            <w:shd w:val="clear" w:color="auto" w:fill="auto"/>
            <w:noWrap/>
            <w:vAlign w:val="center"/>
          </w:tcPr>
          <w:p>
            <w:pPr>
              <w:widowControl/>
              <w:jc w:val="center"/>
              <w:textAlignment w:val="center"/>
              <w:rPr>
                <w:rFonts w:ascii="方正小标宋简体" w:hAnsi="黑体" w:eastAsia="方正小标宋简体" w:cs="宋体"/>
                <w:sz w:val="44"/>
                <w:szCs w:val="44"/>
              </w:rPr>
            </w:pPr>
            <w:r>
              <w:rPr>
                <w:rFonts w:hint="eastAsia" w:ascii="方正小标宋简体" w:hAnsi="黑体" w:eastAsia="方正小标宋简体" w:cs="宋体"/>
                <w:sz w:val="44"/>
                <w:szCs w:val="44"/>
              </w:rPr>
              <w:t>2021年部门预算项目绩效目标自评</w:t>
            </w:r>
          </w:p>
          <w:p>
            <w:pPr>
              <w:spacing w:line="520" w:lineRule="exact"/>
              <w:ind w:firstLine="640"/>
              <w:jc w:val="center"/>
              <w:rPr>
                <w:rFonts w:ascii="楷体_GB2312" w:hAnsi="宋体" w:eastAsia="楷体_GB2312" w:cs="宋体"/>
                <w:b/>
                <w:kern w:val="0"/>
                <w:sz w:val="32"/>
                <w:szCs w:val="32"/>
              </w:rPr>
            </w:pPr>
            <w:r>
              <w:rPr>
                <w:rFonts w:hint="eastAsia" w:ascii="楷体_GB2312" w:hAnsi="宋体" w:eastAsia="楷体_GB2312" w:cs="宋体"/>
                <w:b/>
                <w:kern w:val="0"/>
                <w:sz w:val="32"/>
                <w:szCs w:val="32"/>
              </w:rPr>
              <w:t>(州政府妇儿工委办工作经费)</w:t>
            </w:r>
          </w:p>
        </w:tc>
        <w:tc>
          <w:tcPr>
            <w:tcW w:w="0" w:type="auto"/>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17" w:type="dxa"/>
          <w:trHeight w:val="25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118101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gridAfter w:val="1"/>
          <w:wAfter w:w="217" w:type="dxa"/>
          <w:trHeight w:val="341"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项目预算执行情况（万元）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right="480"/>
              <w:jc w:val="center"/>
              <w:textAlignment w:val="center"/>
              <w:rPr>
                <w:rFonts w:ascii="仿宋_GB2312" w:eastAsia="仿宋_GB2312" w:cs="宋体"/>
                <w:sz w:val="28"/>
                <w:szCs w:val="28"/>
              </w:rPr>
            </w:pPr>
            <w:r>
              <w:rPr>
                <w:rFonts w:hint="eastAsia" w:ascii="仿宋_GB2312" w:eastAsia="仿宋_GB2312" w:cs="宋体"/>
                <w:sz w:val="28"/>
                <w:szCs w:val="28"/>
              </w:rPr>
              <w:t>10</w:t>
            </w:r>
          </w:p>
        </w:tc>
      </w:tr>
      <w:tr>
        <w:tblPrEx>
          <w:tblCellMar>
            <w:top w:w="0" w:type="dxa"/>
            <w:left w:w="108" w:type="dxa"/>
            <w:bottom w:w="0" w:type="dxa"/>
            <w:right w:w="108" w:type="dxa"/>
          </w:tblCellMar>
        </w:tblPrEx>
        <w:trPr>
          <w:gridAfter w:val="1"/>
          <w:wAfter w:w="217" w:type="dxa"/>
          <w:trHeight w:val="555"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10</w:t>
            </w:r>
          </w:p>
        </w:tc>
      </w:tr>
      <w:tr>
        <w:tblPrEx>
          <w:tblCellMar>
            <w:top w:w="0" w:type="dxa"/>
            <w:left w:w="108" w:type="dxa"/>
            <w:bottom w:w="0" w:type="dxa"/>
            <w:right w:w="108" w:type="dxa"/>
          </w:tblCellMar>
        </w:tblPrEx>
        <w:trPr>
          <w:gridAfter w:val="1"/>
          <w:wAfter w:w="217" w:type="dxa"/>
          <w:trHeight w:val="56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r>
      <w:tr>
        <w:tblPrEx>
          <w:tblCellMar>
            <w:top w:w="0" w:type="dxa"/>
            <w:left w:w="108" w:type="dxa"/>
            <w:bottom w:w="0" w:type="dxa"/>
            <w:right w:w="108" w:type="dxa"/>
          </w:tblCellMar>
        </w:tblPrEx>
        <w:trPr>
          <w:gridAfter w:val="1"/>
          <w:wAfter w:w="217" w:type="dxa"/>
          <w:trHeight w:val="217"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gridAfter w:val="1"/>
          <w:wAfter w:w="217" w:type="dxa"/>
          <w:trHeight w:val="398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1.到各县（市）开展“两纲”指导、督促和检查工作；2.开展巡诊义诊、慰问贫困妇女儿童等工作；3.完成阶段性“两纲”监测报告；4.对“两纲”监测过程中发现的重难点问题进行调研并推动解决；2022年1月，阿坝州财政局年初下达妇儿工委办工作经费10万元。</w:t>
            </w:r>
          </w:p>
          <w:p>
            <w:pPr>
              <w:widowControl/>
              <w:spacing w:line="320" w:lineRule="exact"/>
              <w:ind w:firstLine="560" w:firstLineChars="200"/>
              <w:jc w:val="center"/>
              <w:textAlignment w:val="center"/>
              <w:rPr>
                <w:rFonts w:ascii="仿宋_GB2312" w:eastAsia="仿宋_GB2312" w:cs="宋体"/>
                <w:kern w:val="0"/>
                <w:sz w:val="28"/>
                <w:szCs w:val="28"/>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4"/>
              <w:spacing w:before="93" w:line="300" w:lineRule="exact"/>
              <w:ind w:firstLine="0" w:firstLineChars="0"/>
              <w:rPr>
                <w:rFonts w:cs="宋体"/>
                <w:sz w:val="28"/>
                <w:szCs w:val="28"/>
              </w:rPr>
            </w:pPr>
            <w:r>
              <w:rPr>
                <w:rFonts w:hint="eastAsia" w:cs="宋体"/>
                <w:sz w:val="28"/>
                <w:szCs w:val="28"/>
              </w:rPr>
              <w:t>1.州妇儿工委办组成“两纲”评估检查组，3-7月，赴13县（市）进行了实地评估检查。2.3月15日-4月23日，组织开展了2021年阿坝州“净土春晖送健康关爱高原母亲行”巡诊义诊活动。3.全州13县（市）确定20个创建示范点位，确保了每个县（市）至少有一个示范点；如期未完成2021年度“两纲”监测州统计报告。</w:t>
            </w:r>
          </w:p>
        </w:tc>
      </w:tr>
      <w:tr>
        <w:tblPrEx>
          <w:tblCellMar>
            <w:top w:w="0" w:type="dxa"/>
            <w:left w:w="108" w:type="dxa"/>
            <w:bottom w:w="0" w:type="dxa"/>
            <w:right w:w="108" w:type="dxa"/>
          </w:tblCellMar>
        </w:tblPrEx>
        <w:trPr>
          <w:gridAfter w:val="1"/>
          <w:wAfter w:w="217" w:type="dxa"/>
          <w:trHeight w:val="693"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一级</w:t>
            </w:r>
          </w:p>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二级</w:t>
            </w:r>
          </w:p>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三级</w:t>
            </w:r>
          </w:p>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实际完成指标值</w:t>
            </w:r>
          </w:p>
        </w:tc>
      </w:tr>
      <w:tr>
        <w:tblPrEx>
          <w:tblCellMar>
            <w:top w:w="0" w:type="dxa"/>
            <w:left w:w="108" w:type="dxa"/>
            <w:bottom w:w="0" w:type="dxa"/>
            <w:right w:w="108" w:type="dxa"/>
          </w:tblCellMar>
        </w:tblPrEx>
        <w:trPr>
          <w:gridAfter w:val="1"/>
          <w:wAfter w:w="217" w:type="dxa"/>
          <w:trHeight w:val="415"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完成</w:t>
            </w:r>
          </w:p>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两纲督导检查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13县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13县全覆盖</w:t>
            </w:r>
          </w:p>
        </w:tc>
      </w:tr>
      <w:tr>
        <w:tblPrEx>
          <w:tblCellMar>
            <w:top w:w="0" w:type="dxa"/>
            <w:left w:w="108" w:type="dxa"/>
            <w:bottom w:w="0" w:type="dxa"/>
            <w:right w:w="108" w:type="dxa"/>
          </w:tblCellMar>
        </w:tblPrEx>
        <w:trPr>
          <w:gridAfter w:val="1"/>
          <w:wAfter w:w="217" w:type="dxa"/>
          <w:trHeight w:val="415"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宋体"/>
                <w:kern w:val="0"/>
                <w:sz w:val="28"/>
                <w:szCs w:val="28"/>
              </w:rPr>
            </w:pPr>
          </w:p>
        </w:tc>
        <w:tc>
          <w:tcPr>
            <w:tcW w:w="0" w:type="auto"/>
            <w:vMerge w:val="continue"/>
            <w:tcBorders>
              <w:left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儿童之家示范点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20个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保证每县（市）有一个示范点。</w:t>
            </w:r>
          </w:p>
        </w:tc>
      </w:tr>
      <w:tr>
        <w:tblPrEx>
          <w:tblCellMar>
            <w:top w:w="0" w:type="dxa"/>
            <w:left w:w="108" w:type="dxa"/>
            <w:bottom w:w="0" w:type="dxa"/>
            <w:right w:w="108" w:type="dxa"/>
          </w:tblCellMar>
        </w:tblPrEx>
        <w:trPr>
          <w:gridAfter w:val="1"/>
          <w:wAfter w:w="217" w:type="dxa"/>
          <w:trHeight w:val="366"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宋体"/>
                <w:kern w:val="0"/>
                <w:sz w:val="28"/>
                <w:szCs w:val="28"/>
              </w:rPr>
            </w:pPr>
          </w:p>
        </w:tc>
        <w:tc>
          <w:tcPr>
            <w:tcW w:w="0" w:type="auto"/>
            <w:vMerge w:val="continue"/>
            <w:tcBorders>
              <w:left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巡诊义诊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4个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红原、阿坝、若尔盖、壤塘县</w:t>
            </w:r>
          </w:p>
        </w:tc>
      </w:tr>
      <w:tr>
        <w:tblPrEx>
          <w:tblCellMar>
            <w:top w:w="0" w:type="dxa"/>
            <w:left w:w="108" w:type="dxa"/>
            <w:bottom w:w="0" w:type="dxa"/>
            <w:right w:w="108" w:type="dxa"/>
          </w:tblCellMar>
        </w:tblPrEx>
        <w:trPr>
          <w:gridAfter w:val="1"/>
          <w:wAfter w:w="217" w:type="dxa"/>
          <w:trHeight w:val="415"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宋体"/>
                <w:kern w:val="0"/>
                <w:sz w:val="28"/>
                <w:szCs w:val="28"/>
              </w:rPr>
            </w:pPr>
          </w:p>
        </w:tc>
        <w:tc>
          <w:tcPr>
            <w:tcW w:w="0" w:type="auto"/>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监测评估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24个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州级24个扛标单位</w:t>
            </w:r>
          </w:p>
        </w:tc>
      </w:tr>
      <w:tr>
        <w:tblPrEx>
          <w:tblCellMar>
            <w:top w:w="0" w:type="dxa"/>
            <w:left w:w="108" w:type="dxa"/>
            <w:bottom w:w="0" w:type="dxa"/>
            <w:right w:w="108" w:type="dxa"/>
          </w:tblCellMar>
        </w:tblPrEx>
        <w:trPr>
          <w:gridAfter w:val="1"/>
          <w:wAfter w:w="217" w:type="dxa"/>
          <w:trHeight w:val="415"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预期效果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达到效果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推进妇女儿童事业健康高质量发展。</w:t>
            </w:r>
          </w:p>
        </w:tc>
      </w:tr>
      <w:tr>
        <w:tblPrEx>
          <w:tblCellMar>
            <w:top w:w="0" w:type="dxa"/>
            <w:left w:w="108" w:type="dxa"/>
            <w:bottom w:w="0" w:type="dxa"/>
            <w:right w:w="108" w:type="dxa"/>
          </w:tblCellMar>
        </w:tblPrEx>
        <w:trPr>
          <w:gridAfter w:val="1"/>
          <w:wAfter w:w="217" w:type="dxa"/>
          <w:trHeight w:val="415"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评估完成时限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12月底前完成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7月份提前完成</w:t>
            </w:r>
          </w:p>
        </w:tc>
      </w:tr>
      <w:tr>
        <w:tblPrEx>
          <w:tblCellMar>
            <w:top w:w="0" w:type="dxa"/>
            <w:left w:w="108" w:type="dxa"/>
            <w:bottom w:w="0" w:type="dxa"/>
            <w:right w:w="108" w:type="dxa"/>
          </w:tblCellMar>
        </w:tblPrEx>
        <w:trPr>
          <w:gridAfter w:val="1"/>
          <w:wAfter w:w="217" w:type="dxa"/>
          <w:trHeight w:val="480"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kern w:val="0"/>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预算安排资金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10万元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100%</w:t>
            </w:r>
          </w:p>
        </w:tc>
      </w:tr>
      <w:tr>
        <w:tblPrEx>
          <w:tblCellMar>
            <w:top w:w="0" w:type="dxa"/>
            <w:left w:w="108" w:type="dxa"/>
            <w:bottom w:w="0" w:type="dxa"/>
            <w:right w:w="108" w:type="dxa"/>
          </w:tblCellMar>
        </w:tblPrEx>
        <w:trPr>
          <w:gridAfter w:val="1"/>
          <w:wAfter w:w="217" w:type="dxa"/>
          <w:trHeight w:val="480"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效益</w:t>
            </w:r>
          </w:p>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社会效益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巡诊义诊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kern w:val="0"/>
                <w:sz w:val="28"/>
                <w:szCs w:val="28"/>
              </w:rPr>
            </w:pPr>
            <w:r>
              <w:rPr>
                <w:rFonts w:hint="eastAsia" w:ascii="仿宋_GB2312" w:eastAsia="仿宋_GB2312" w:cs="宋体"/>
                <w:kern w:val="0"/>
                <w:sz w:val="28"/>
                <w:szCs w:val="28"/>
              </w:rPr>
              <w:t>让更多的人关心关爱高原母亲</w:t>
            </w:r>
          </w:p>
        </w:tc>
      </w:tr>
      <w:tr>
        <w:tblPrEx>
          <w:tblCellMar>
            <w:top w:w="0" w:type="dxa"/>
            <w:left w:w="108" w:type="dxa"/>
            <w:bottom w:w="0" w:type="dxa"/>
            <w:right w:w="108" w:type="dxa"/>
          </w:tblCellMar>
        </w:tblPrEx>
        <w:trPr>
          <w:gridAfter w:val="1"/>
          <w:wAfter w:w="217" w:type="dxa"/>
          <w:trHeight w:val="480" w:hRule="atLeast"/>
        </w:trPr>
        <w:tc>
          <w:tcPr>
            <w:tcW w:w="0" w:type="auto"/>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可持续影响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巡诊义诊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巩固脱贫攻坚成果，降低返贫率。</w:t>
            </w:r>
          </w:p>
        </w:tc>
      </w:tr>
      <w:tr>
        <w:tblPrEx>
          <w:tblCellMar>
            <w:top w:w="0" w:type="dxa"/>
            <w:left w:w="108" w:type="dxa"/>
            <w:bottom w:w="0" w:type="dxa"/>
            <w:right w:w="108" w:type="dxa"/>
          </w:tblCellMar>
        </w:tblPrEx>
        <w:trPr>
          <w:gridAfter w:val="1"/>
          <w:wAfter w:w="217" w:type="dxa"/>
          <w:trHeight w:val="53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满意度</w:t>
            </w:r>
          </w:p>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kern w:val="0"/>
                <w:sz w:val="28"/>
                <w:szCs w:val="28"/>
              </w:rPr>
            </w:pPr>
            <w:r>
              <w:rPr>
                <w:rFonts w:hint="eastAsia" w:ascii="仿宋_GB2312" w:eastAsia="仿宋_GB2312" w:cs="宋体"/>
                <w:kern w:val="0"/>
                <w:sz w:val="28"/>
                <w:szCs w:val="28"/>
              </w:rPr>
              <w:t>受益群众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90%</w:t>
            </w:r>
          </w:p>
        </w:tc>
      </w:tr>
    </w:tbl>
    <w:p>
      <w:pPr>
        <w:pStyle w:val="34"/>
        <w:adjustRightInd w:val="0"/>
        <w:snapToGrid w:val="0"/>
        <w:spacing w:line="360" w:lineRule="auto"/>
        <w:ind w:left="420" w:firstLine="704" w:firstLineChars="220"/>
        <w:rPr>
          <w:rFonts w:ascii="仿宋_GB2312" w:eastAsia="仿宋_GB2312"/>
          <w:color w:val="auto"/>
          <w:kern w:val="0"/>
          <w:sz w:val="32"/>
          <w:szCs w:val="32"/>
          <w:lang w:eastAsia="zh-CN" w:bidi="ar-SA"/>
        </w:rPr>
      </w:pPr>
    </w:p>
    <w:p>
      <w:pPr>
        <w:pStyle w:val="34"/>
        <w:adjustRightInd w:val="0"/>
        <w:snapToGrid w:val="0"/>
        <w:spacing w:line="360" w:lineRule="auto"/>
        <w:ind w:left="420" w:firstLine="704" w:firstLineChars="220"/>
        <w:rPr>
          <w:rFonts w:ascii="仿宋_GB2312" w:eastAsia="仿宋_GB2312"/>
          <w:color w:val="auto"/>
          <w:kern w:val="0"/>
          <w:sz w:val="32"/>
          <w:szCs w:val="32"/>
          <w:lang w:eastAsia="zh-CN" w:bidi="ar-SA"/>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p>
    <w:p>
      <w:pPr>
        <w:snapToGrid w:val="0"/>
        <w:spacing w:line="600" w:lineRule="exact"/>
        <w:rPr>
          <w:rFonts w:ascii="方正小标宋简体" w:hAnsi="宋体" w:eastAsia="方正小标宋简体"/>
          <w:sz w:val="44"/>
          <w:szCs w:val="44"/>
        </w:rPr>
      </w:pPr>
      <w:bookmarkStart w:id="112" w:name="_GoBack"/>
      <w:bookmarkEnd w:id="112"/>
    </w:p>
    <w:p>
      <w:pPr>
        <w:snapToGrid w:val="0"/>
        <w:spacing w:line="600" w:lineRule="exact"/>
        <w:jc w:val="center"/>
        <w:rPr>
          <w:rFonts w:ascii="华文仿宋" w:hAnsi="华文仿宋" w:eastAsia="华文仿宋" w:cs="华文仿宋"/>
          <w:sz w:val="24"/>
        </w:rPr>
      </w:pPr>
      <w:r>
        <w:rPr>
          <w:rFonts w:hint="eastAsia" w:ascii="方正小标宋简体" w:hAnsi="宋体" w:eastAsia="方正小标宋简体"/>
          <w:sz w:val="44"/>
          <w:szCs w:val="44"/>
        </w:rPr>
        <w:t>2021年专项预算项目支出绩效评价报告</w:t>
      </w:r>
    </w:p>
    <w:p>
      <w:pPr>
        <w:tabs>
          <w:tab w:val="left" w:pos="3885"/>
        </w:tabs>
        <w:snapToGrid w:val="0"/>
        <w:spacing w:line="600" w:lineRule="exact"/>
        <w:jc w:val="center"/>
        <w:rPr>
          <w:rFonts w:ascii="楷体_GB2312" w:hAnsi="宋体" w:eastAsia="楷体_GB2312"/>
          <w:b/>
          <w:sz w:val="32"/>
          <w:szCs w:val="32"/>
        </w:rPr>
      </w:pPr>
      <w:r>
        <w:rPr>
          <w:rFonts w:hint="eastAsia" w:ascii="楷体_GB2312" w:hAnsi="宋体" w:eastAsia="楷体_GB2312"/>
          <w:b/>
          <w:sz w:val="32"/>
          <w:szCs w:val="32"/>
        </w:rPr>
        <w:t>（1+N工作经费）</w:t>
      </w:r>
    </w:p>
    <w:p>
      <w:pPr>
        <w:tabs>
          <w:tab w:val="left" w:pos="3885"/>
        </w:tabs>
        <w:snapToGrid w:val="0"/>
        <w:spacing w:line="600" w:lineRule="exact"/>
        <w:ind w:firstLine="421" w:firstLineChars="200"/>
        <w:jc w:val="left"/>
        <w:rPr>
          <w:rFonts w:ascii="宋体" w:hAnsi="宋体"/>
          <w:b/>
          <w:szCs w:val="21"/>
        </w:rPr>
      </w:pPr>
    </w:p>
    <w:p>
      <w:pPr>
        <w:tabs>
          <w:tab w:val="left" w:pos="3885"/>
        </w:tabs>
        <w:snapToGrid w:val="0"/>
        <w:spacing w:line="540" w:lineRule="exact"/>
        <w:ind w:firstLine="425" w:firstLineChars="133"/>
        <w:jc w:val="left"/>
        <w:rPr>
          <w:rFonts w:ascii="黑体" w:hAnsi="黑体" w:eastAsia="黑体"/>
          <w:sz w:val="32"/>
          <w:szCs w:val="32"/>
        </w:rPr>
      </w:pPr>
      <w:r>
        <w:rPr>
          <w:rFonts w:hint="eastAsia" w:ascii="黑体" w:hAnsi="黑体" w:eastAsia="黑体"/>
          <w:sz w:val="32"/>
          <w:szCs w:val="32"/>
        </w:rPr>
        <w:t>一、项目概况</w:t>
      </w:r>
    </w:p>
    <w:p>
      <w:pPr>
        <w:widowControl/>
        <w:spacing w:line="600" w:lineRule="exact"/>
        <w:ind w:left="-322" w:firstLine="462" w:firstLineChars="144"/>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w:t>
      </w:r>
      <w:r>
        <w:rPr>
          <w:rFonts w:ascii="楷体_GB2312" w:hAnsi="楷体_GB2312" w:eastAsia="楷体_GB2312" w:cs="楷体_GB2312"/>
          <w:b/>
          <w:bCs/>
          <w:sz w:val="32"/>
          <w:szCs w:val="32"/>
        </w:rPr>
        <w:t>资金申报及批复情况</w:t>
      </w:r>
    </w:p>
    <w:p>
      <w:pPr>
        <w:widowControl/>
        <w:spacing w:line="600" w:lineRule="exact"/>
        <w:ind w:firstLine="640" w:firstLineChars="200"/>
        <w:rPr>
          <w:rFonts w:ascii="仿宋_GB2312" w:eastAsia="仿宋_GB2312"/>
          <w:sz w:val="32"/>
          <w:szCs w:val="32"/>
        </w:rPr>
      </w:pPr>
      <w:r>
        <w:rPr>
          <w:rFonts w:hint="eastAsia" w:ascii="仿宋_GB2312" w:eastAsia="仿宋_GB2312"/>
          <w:sz w:val="32"/>
          <w:szCs w:val="32"/>
        </w:rPr>
        <w:t>一是为贯彻落实《四川藏区觉姆美好生活行动计划工作方</w:t>
      </w:r>
      <w:r>
        <w:rPr>
          <w:rFonts w:hint="eastAsia" w:ascii="仿宋_GB2312" w:hAnsi="仿宋_GB2312" w:eastAsia="仿宋_GB2312" w:cs="仿宋_GB2312"/>
          <w:bCs/>
          <w:sz w:val="32"/>
          <w:szCs w:val="32"/>
        </w:rPr>
        <w:t>案</w:t>
      </w:r>
      <w:r>
        <w:rPr>
          <w:rFonts w:hint="eastAsia" w:ascii="仿宋_GB2312" w:eastAsia="仿宋_GB2312"/>
          <w:sz w:val="32"/>
          <w:szCs w:val="32"/>
        </w:rPr>
        <w:t>》、省州相关会议精神，按照州委“两联一进”群众工作</w:t>
      </w:r>
      <w:r>
        <w:rPr>
          <w:rFonts w:ascii="仿宋_GB2312" w:eastAsia="仿宋_GB2312"/>
          <w:sz w:val="32"/>
          <w:szCs w:val="32"/>
        </w:rPr>
        <w:t>全覆盖</w:t>
      </w:r>
      <w:r>
        <w:rPr>
          <w:rFonts w:hint="eastAsia" w:ascii="仿宋_GB2312" w:eastAsia="仿宋_GB2312"/>
          <w:sz w:val="32"/>
          <w:szCs w:val="32"/>
        </w:rPr>
        <w:t>及《阿坝州妇联202</w:t>
      </w:r>
      <w:r>
        <w:rPr>
          <w:rFonts w:ascii="仿宋_GB2312" w:eastAsia="仿宋_GB2312"/>
          <w:sz w:val="32"/>
          <w:szCs w:val="32"/>
        </w:rPr>
        <w:t>1</w:t>
      </w:r>
      <w:r>
        <w:rPr>
          <w:rFonts w:hint="eastAsia" w:ascii="仿宋_GB2312" w:eastAsia="仿宋_GB2312"/>
          <w:sz w:val="32"/>
          <w:szCs w:val="32"/>
        </w:rPr>
        <w:t>年工作要点》的相关要求，我会持续开展对觉姆姐妹的关爱工作，</w:t>
      </w:r>
      <w:r>
        <w:rPr>
          <w:rFonts w:ascii="仿宋_GB2312" w:eastAsia="仿宋_GB2312"/>
          <w:sz w:val="32"/>
          <w:szCs w:val="32"/>
        </w:rPr>
        <w:t>从</w:t>
      </w:r>
      <w:r>
        <w:rPr>
          <w:rFonts w:hint="eastAsia" w:ascii="仿宋_GB2312" w:eastAsia="仿宋_GB2312"/>
          <w:sz w:val="32"/>
          <w:szCs w:val="32"/>
        </w:rPr>
        <w:t>1+N工作经费中拿出</w:t>
      </w:r>
      <w:r>
        <w:rPr>
          <w:rFonts w:ascii="仿宋_GB2312" w:eastAsia="仿宋_GB2312"/>
          <w:sz w:val="32"/>
          <w:szCs w:val="32"/>
        </w:rPr>
        <w:t>11.91</w:t>
      </w:r>
      <w:r>
        <w:rPr>
          <w:rFonts w:hint="eastAsia" w:ascii="仿宋_GB2312" w:eastAsia="仿宋_GB2312"/>
          <w:sz w:val="32"/>
          <w:szCs w:val="32"/>
        </w:rPr>
        <w:t>万元定制“觉姆</w:t>
      </w:r>
      <w:r>
        <w:rPr>
          <w:rFonts w:ascii="仿宋_GB2312" w:eastAsia="仿宋_GB2312"/>
          <w:sz w:val="32"/>
          <w:szCs w:val="32"/>
        </w:rPr>
        <w:t>暖</w:t>
      </w:r>
      <w:r>
        <w:rPr>
          <w:rFonts w:hint="eastAsia" w:ascii="仿宋_GB2312" w:eastAsia="仿宋_GB2312"/>
          <w:sz w:val="32"/>
          <w:szCs w:val="32"/>
        </w:rPr>
        <w:t>心包”。二是</w:t>
      </w:r>
      <w:r>
        <w:rPr>
          <w:rFonts w:ascii="仿宋_GB2312" w:eastAsia="仿宋_GB2312"/>
          <w:sz w:val="32"/>
          <w:szCs w:val="32"/>
        </w:rPr>
        <w:t>在2020年9.14拉姆案后</w:t>
      </w:r>
      <w:r>
        <w:rPr>
          <w:rFonts w:hint="eastAsia" w:ascii="仿宋_GB2312" w:eastAsia="仿宋_GB2312"/>
          <w:sz w:val="32"/>
          <w:szCs w:val="32"/>
        </w:rPr>
        <w:t>，阿坝州妇联</w:t>
      </w:r>
      <w:r>
        <w:rPr>
          <w:rFonts w:ascii="仿宋_GB2312" w:eastAsia="仿宋_GB2312"/>
          <w:sz w:val="32"/>
          <w:szCs w:val="32"/>
        </w:rPr>
        <w:t>在</w:t>
      </w:r>
      <w:r>
        <w:rPr>
          <w:rFonts w:hint="eastAsia" w:ascii="仿宋_GB2312" w:eastAsia="仿宋_GB2312"/>
          <w:sz w:val="32"/>
          <w:szCs w:val="32"/>
        </w:rPr>
        <w:t>1+N工作经费中拿出</w:t>
      </w:r>
      <w:r>
        <w:rPr>
          <w:rFonts w:ascii="仿宋_GB2312" w:eastAsia="仿宋_GB2312"/>
          <w:sz w:val="32"/>
          <w:szCs w:val="32"/>
        </w:rPr>
        <w:t>6万元</w:t>
      </w:r>
      <w:r>
        <w:rPr>
          <w:rFonts w:hint="eastAsia" w:ascii="仿宋_GB2312" w:eastAsia="仿宋_GB2312"/>
          <w:sz w:val="32"/>
          <w:szCs w:val="32"/>
        </w:rPr>
        <w:t>委托四川省民族研究会开展</w:t>
      </w:r>
      <w:r>
        <w:rPr>
          <w:rFonts w:ascii="仿宋_GB2312" w:eastAsia="仿宋_GB2312"/>
          <w:sz w:val="32"/>
          <w:szCs w:val="32"/>
        </w:rPr>
        <w:t>反家庭暴力法视域下涉藏地区妇女权益课题</w:t>
      </w:r>
      <w:r>
        <w:rPr>
          <w:rFonts w:hint="eastAsia" w:ascii="仿宋_GB2312" w:eastAsia="仿宋_GB2312"/>
          <w:sz w:val="32"/>
          <w:szCs w:val="32"/>
        </w:rPr>
        <w:t>研究，对涉藏地区妇女权益保障和维权状况展开调查，通过现状发现问题，以“拉姆”事件为契机，不断完善相关体制机制，进一步做好法律法规的宣传，唤起社会各界更多的关注和参与，减少家暴对民众尤其是弱势群体的影响，促使妇女维权意识逐渐提升，权益得到充分保障。三是</w:t>
      </w:r>
      <w:r>
        <w:rPr>
          <w:rFonts w:ascii="仿宋_GB2312" w:eastAsia="仿宋_GB2312"/>
          <w:sz w:val="32"/>
          <w:szCs w:val="32"/>
        </w:rPr>
        <w:t>在</w:t>
      </w:r>
      <w:r>
        <w:rPr>
          <w:rFonts w:hint="eastAsia" w:ascii="仿宋_GB2312" w:eastAsia="仿宋_GB2312"/>
          <w:sz w:val="32"/>
          <w:szCs w:val="32"/>
        </w:rPr>
        <w:t>1+N工作经费中拿出</w:t>
      </w:r>
      <w:r>
        <w:rPr>
          <w:rFonts w:ascii="仿宋_GB2312" w:eastAsia="仿宋_GB2312"/>
          <w:sz w:val="32"/>
          <w:szCs w:val="32"/>
        </w:rPr>
        <w:t>2万元，委托金川县东女之爱志愿者协会进行项目化关爱2020年9.14拉姆案两名困境儿童。以上项目资金申报、批复符合资金管理办法。</w:t>
      </w:r>
    </w:p>
    <w:p>
      <w:pPr>
        <w:widowControl/>
        <w:spacing w:line="600" w:lineRule="exact"/>
        <w:ind w:left="-322"/>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（二）项目绩效目标</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一是定制</w:t>
      </w:r>
      <w:r>
        <w:rPr>
          <w:rFonts w:ascii="仿宋_GB2312" w:eastAsia="仿宋_GB2312"/>
          <w:sz w:val="32"/>
          <w:szCs w:val="32"/>
        </w:rPr>
        <w:t>11.91</w:t>
      </w:r>
      <w:r>
        <w:rPr>
          <w:rFonts w:hint="eastAsia" w:ascii="仿宋_GB2312" w:eastAsia="仿宋_GB2312"/>
          <w:sz w:val="32"/>
          <w:szCs w:val="32"/>
        </w:rPr>
        <w:t>万元“觉姆</w:t>
      </w:r>
      <w:r>
        <w:rPr>
          <w:rFonts w:ascii="仿宋_GB2312" w:eastAsia="仿宋_GB2312"/>
          <w:sz w:val="32"/>
          <w:szCs w:val="32"/>
        </w:rPr>
        <w:t>暖</w:t>
      </w:r>
      <w:r>
        <w:rPr>
          <w:rFonts w:hint="eastAsia" w:ascii="仿宋_GB2312" w:eastAsia="仿宋_GB2312"/>
          <w:sz w:val="32"/>
          <w:szCs w:val="32"/>
        </w:rPr>
        <w:t>心包”。分别发放红原如意空行寺</w:t>
      </w:r>
      <w:r>
        <w:rPr>
          <w:rFonts w:ascii="仿宋_GB2312" w:eastAsia="仿宋_GB2312"/>
          <w:sz w:val="32"/>
          <w:szCs w:val="32"/>
        </w:rPr>
        <w:t>100</w:t>
      </w:r>
      <w:r>
        <w:rPr>
          <w:rFonts w:hint="eastAsia" w:ascii="仿宋_GB2312" w:eastAsia="仿宋_GB2312"/>
          <w:sz w:val="32"/>
          <w:szCs w:val="32"/>
        </w:rPr>
        <w:t>个、阿坝四洼尼姑寺100个、壤塘娜泽求宗</w:t>
      </w:r>
      <w:r>
        <w:rPr>
          <w:rFonts w:ascii="仿宋_GB2312" w:eastAsia="仿宋_GB2312"/>
          <w:sz w:val="32"/>
          <w:szCs w:val="32"/>
        </w:rPr>
        <w:t>和中壤塘镇布康木达尼姑修行点共</w:t>
      </w:r>
      <w:r>
        <w:rPr>
          <w:rFonts w:hint="eastAsia" w:ascii="仿宋_GB2312" w:eastAsia="仿宋_GB2312"/>
          <w:sz w:val="32"/>
          <w:szCs w:val="32"/>
        </w:rPr>
        <w:t>100个，受益困难觉姆</w:t>
      </w:r>
      <w:r>
        <w:rPr>
          <w:rFonts w:ascii="仿宋_GB2312" w:eastAsia="仿宋_GB2312"/>
          <w:sz w:val="32"/>
          <w:szCs w:val="32"/>
        </w:rPr>
        <w:t>300</w:t>
      </w:r>
      <w:r>
        <w:rPr>
          <w:rFonts w:hint="eastAsia" w:ascii="仿宋_GB2312" w:eastAsia="仿宋_GB2312"/>
          <w:sz w:val="32"/>
          <w:szCs w:val="32"/>
        </w:rPr>
        <w:t>名，深受尼姑姐妹欢迎；二是用</w:t>
      </w:r>
      <w:r>
        <w:rPr>
          <w:rFonts w:ascii="仿宋_GB2312" w:eastAsia="仿宋_GB2312"/>
          <w:sz w:val="32"/>
          <w:szCs w:val="32"/>
        </w:rPr>
        <w:t>6</w:t>
      </w:r>
      <w:r>
        <w:rPr>
          <w:rFonts w:hint="eastAsia" w:ascii="仿宋_GB2312" w:eastAsia="仿宋_GB2312"/>
          <w:sz w:val="32"/>
          <w:szCs w:val="32"/>
        </w:rPr>
        <w:t>万元资金开展了</w:t>
      </w:r>
      <w:r>
        <w:rPr>
          <w:rFonts w:ascii="仿宋_GB2312" w:eastAsia="仿宋_GB2312"/>
          <w:sz w:val="32"/>
          <w:szCs w:val="32"/>
        </w:rPr>
        <w:t>反家庭暴力法视域下涉藏地区妇女权益课题</w:t>
      </w:r>
      <w:r>
        <w:rPr>
          <w:rFonts w:hint="eastAsia" w:ascii="仿宋_GB2312" w:eastAsia="仿宋_GB2312"/>
          <w:sz w:val="32"/>
          <w:szCs w:val="32"/>
        </w:rPr>
        <w:t>研究，</w:t>
      </w:r>
      <w:r>
        <w:rPr>
          <w:rFonts w:ascii="仿宋_GB2312" w:eastAsia="仿宋_GB2312"/>
          <w:sz w:val="32"/>
          <w:szCs w:val="32"/>
        </w:rPr>
        <w:t>为</w:t>
      </w:r>
      <w:r>
        <w:rPr>
          <w:rFonts w:hint="eastAsia" w:ascii="仿宋_GB2312" w:eastAsia="仿宋_GB2312"/>
          <w:sz w:val="32"/>
          <w:szCs w:val="32"/>
        </w:rPr>
        <w:t>减少家暴对民众尤其是弱势群体的影响，促使妇女维权意识逐渐提升，权益得到充分保障</w:t>
      </w:r>
      <w:r>
        <w:rPr>
          <w:rFonts w:ascii="仿宋_GB2312" w:eastAsia="仿宋_GB2312"/>
          <w:sz w:val="32"/>
          <w:szCs w:val="32"/>
        </w:rPr>
        <w:tab/>
      </w:r>
      <w:r>
        <w:rPr>
          <w:rFonts w:ascii="仿宋_GB2312" w:eastAsia="仿宋_GB2312"/>
          <w:sz w:val="32"/>
          <w:szCs w:val="32"/>
        </w:rPr>
        <w:t>起到了积极作用</w:t>
      </w:r>
      <w:r>
        <w:rPr>
          <w:rFonts w:hint="eastAsia" w:ascii="仿宋_GB2312" w:eastAsia="仿宋_GB2312"/>
          <w:sz w:val="32"/>
          <w:szCs w:val="32"/>
        </w:rPr>
        <w:t>；三是用</w:t>
      </w:r>
      <w:r>
        <w:rPr>
          <w:rFonts w:ascii="仿宋_GB2312" w:eastAsia="仿宋_GB2312"/>
          <w:sz w:val="32"/>
          <w:szCs w:val="32"/>
        </w:rPr>
        <w:t>2万元，委托金川县东女之爱志愿者协会进行项目化关爱2020年9.14拉姆案两名困境儿童，逐渐消除两名困境儿童的心理阴影，促进其健康成长。</w:t>
      </w:r>
    </w:p>
    <w:p>
      <w:pPr>
        <w:tabs>
          <w:tab w:val="left" w:pos="3885"/>
        </w:tabs>
        <w:snapToGrid w:val="0"/>
        <w:spacing w:line="540" w:lineRule="exact"/>
        <w:ind w:firstLine="321" w:firstLineChars="1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w:t>
      </w:r>
      <w:r>
        <w:rPr>
          <w:rFonts w:ascii="楷体_GB2312" w:hAnsi="楷体_GB2312" w:eastAsia="楷体_GB2312" w:cs="楷体_GB2312"/>
          <w:b/>
          <w:bCs/>
          <w:sz w:val="32"/>
          <w:szCs w:val="32"/>
        </w:rPr>
        <w:t>项目资金申报相符性</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以上三项工作共投入资金</w:t>
      </w:r>
      <w:r>
        <w:rPr>
          <w:rFonts w:ascii="仿宋_GB2312" w:eastAsia="仿宋_GB2312"/>
          <w:sz w:val="32"/>
          <w:szCs w:val="32"/>
        </w:rPr>
        <w:t>19.91</w:t>
      </w:r>
      <w:r>
        <w:rPr>
          <w:rFonts w:hint="eastAsia" w:ascii="仿宋_GB2312" w:eastAsia="仿宋_GB2312"/>
          <w:sz w:val="32"/>
          <w:szCs w:val="32"/>
        </w:rPr>
        <w:t>万元，都是从1+N工作经费中支出</w:t>
      </w:r>
      <w:r>
        <w:rPr>
          <w:rFonts w:ascii="仿宋_GB2312" w:eastAsia="仿宋_GB2312"/>
          <w:sz w:val="32"/>
          <w:szCs w:val="32"/>
        </w:rPr>
        <w:t>，项目资金申报与用途相符。</w:t>
      </w:r>
    </w:p>
    <w:p>
      <w:pPr>
        <w:tabs>
          <w:tab w:val="left" w:pos="3885"/>
        </w:tabs>
        <w:snapToGrid w:val="0"/>
        <w:spacing w:line="540" w:lineRule="exact"/>
        <w:jc w:val="left"/>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项目实施及管理</w:t>
      </w:r>
      <w:r>
        <w:rPr>
          <w:rFonts w:hint="eastAsia" w:ascii="黑体" w:hAnsi="黑体" w:eastAsia="黑体"/>
          <w:sz w:val="32"/>
          <w:szCs w:val="32"/>
        </w:rPr>
        <w:t>情况</w:t>
      </w:r>
    </w:p>
    <w:p>
      <w:pPr>
        <w:tabs>
          <w:tab w:val="left" w:pos="3885"/>
        </w:tabs>
        <w:snapToGrid w:val="0"/>
        <w:spacing w:line="540" w:lineRule="exact"/>
        <w:ind w:firstLine="321" w:firstLineChars="1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资金计划、到位及使用情况</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一是使用</w:t>
      </w:r>
      <w:r>
        <w:rPr>
          <w:rFonts w:ascii="仿宋_GB2312" w:eastAsia="仿宋_GB2312"/>
          <w:sz w:val="32"/>
          <w:szCs w:val="32"/>
        </w:rPr>
        <w:t>11.91</w:t>
      </w:r>
      <w:r>
        <w:rPr>
          <w:rFonts w:hint="eastAsia" w:ascii="仿宋_GB2312" w:eastAsia="仿宋_GB2312"/>
          <w:sz w:val="32"/>
          <w:szCs w:val="32"/>
        </w:rPr>
        <w:t>万元资金定制了</w:t>
      </w:r>
      <w:r>
        <w:rPr>
          <w:rFonts w:ascii="仿宋_GB2312" w:eastAsia="仿宋_GB2312"/>
          <w:sz w:val="32"/>
          <w:szCs w:val="32"/>
        </w:rPr>
        <w:t>300</w:t>
      </w:r>
      <w:r>
        <w:rPr>
          <w:rFonts w:hint="eastAsia" w:ascii="仿宋_GB2312" w:eastAsia="仿宋_GB2312"/>
          <w:sz w:val="32"/>
          <w:szCs w:val="32"/>
        </w:rPr>
        <w:t>个觉姆暖心包；二是</w:t>
      </w:r>
      <w:r>
        <w:rPr>
          <w:rFonts w:ascii="仿宋_GB2312" w:eastAsia="仿宋_GB2312"/>
          <w:sz w:val="32"/>
          <w:szCs w:val="32"/>
        </w:rPr>
        <w:t>使用6万元</w:t>
      </w:r>
      <w:r>
        <w:rPr>
          <w:rFonts w:hint="eastAsia" w:ascii="仿宋_GB2312" w:eastAsia="仿宋_GB2312"/>
          <w:sz w:val="32"/>
          <w:szCs w:val="32"/>
        </w:rPr>
        <w:t>委托四川省民族研究会开展</w:t>
      </w:r>
      <w:r>
        <w:rPr>
          <w:rFonts w:ascii="仿宋_GB2312" w:eastAsia="仿宋_GB2312"/>
          <w:sz w:val="32"/>
          <w:szCs w:val="32"/>
        </w:rPr>
        <w:t>反家庭暴力法视域下涉藏地区妇女权益课题</w:t>
      </w:r>
      <w:r>
        <w:rPr>
          <w:rFonts w:hint="eastAsia" w:ascii="仿宋_GB2312" w:eastAsia="仿宋_GB2312"/>
          <w:sz w:val="32"/>
          <w:szCs w:val="32"/>
        </w:rPr>
        <w:t>研究，减少家暴对民众尤其是弱势群体的影响，促使妇女维权意识逐渐提升，权益得到充分保障。三是用</w:t>
      </w:r>
      <w:r>
        <w:rPr>
          <w:rFonts w:ascii="仿宋_GB2312" w:eastAsia="仿宋_GB2312"/>
          <w:sz w:val="32"/>
          <w:szCs w:val="32"/>
        </w:rPr>
        <w:t>2万元，委托金川县东女之爱志愿者协会进行项目化关爱2020年9.14拉姆案两名困境儿童。以上资金计划、到位及使用情况均相符，资金到位率达100%，资金支付与预算相符，资金到位及时。</w:t>
      </w:r>
    </w:p>
    <w:p>
      <w:pPr>
        <w:tabs>
          <w:tab w:val="left" w:pos="3885"/>
        </w:tabs>
        <w:snapToGrid w:val="0"/>
        <w:spacing w:line="54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项目财务管理情况</w:t>
      </w:r>
    </w:p>
    <w:p>
      <w:pPr>
        <w:spacing w:line="540" w:lineRule="exact"/>
        <w:ind w:firstLine="320" w:firstLineChars="100"/>
        <w:rPr>
          <w:rFonts w:ascii="仿宋_GB2312" w:eastAsia="仿宋_GB2312"/>
          <w:sz w:val="32"/>
          <w:szCs w:val="32"/>
        </w:rPr>
      </w:pPr>
      <w:r>
        <w:rPr>
          <w:rFonts w:ascii="仿宋_GB2312" w:eastAsia="仿宋_GB2312"/>
          <w:sz w:val="32"/>
          <w:szCs w:val="32"/>
        </w:rPr>
        <w:t>严格执行财务管理制度，财务处理及时，会计核算规范。</w:t>
      </w:r>
    </w:p>
    <w:p>
      <w:pPr>
        <w:tabs>
          <w:tab w:val="left" w:pos="3885"/>
        </w:tabs>
        <w:snapToGrid w:val="0"/>
        <w:spacing w:line="54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w:t>
      </w:r>
      <w:r>
        <w:rPr>
          <w:rFonts w:ascii="楷体_GB2312" w:hAnsi="楷体_GB2312" w:eastAsia="楷体_GB2312" w:cs="楷体_GB2312"/>
          <w:b/>
          <w:bCs/>
          <w:sz w:val="32"/>
          <w:szCs w:val="32"/>
        </w:rPr>
        <w:t>项目组织实施情况</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严格按照资金管理办法和“三重一大”相关规定，按相关要求，每</w:t>
      </w:r>
      <w:r>
        <w:rPr>
          <w:rFonts w:ascii="仿宋_GB2312" w:eastAsia="仿宋_GB2312"/>
          <w:sz w:val="32"/>
          <w:szCs w:val="32"/>
        </w:rPr>
        <w:t>个</w:t>
      </w:r>
      <w:r>
        <w:rPr>
          <w:rFonts w:hint="eastAsia" w:ascii="仿宋_GB2312" w:eastAsia="仿宋_GB2312"/>
          <w:sz w:val="32"/>
          <w:szCs w:val="32"/>
        </w:rPr>
        <w:t>环节均集体决策，项目实施过程严格按照财经纪律，支付相关经费，做到了账目清晰、业内资料齐备、走账规范。</w:t>
      </w:r>
    </w:p>
    <w:p>
      <w:pPr>
        <w:tabs>
          <w:tab w:val="left" w:pos="3885"/>
        </w:tabs>
        <w:snapToGrid w:val="0"/>
        <w:spacing w:line="540" w:lineRule="exact"/>
        <w:jc w:val="left"/>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项目</w:t>
      </w:r>
      <w:r>
        <w:rPr>
          <w:rFonts w:hint="eastAsia" w:ascii="黑体" w:hAnsi="黑体" w:eastAsia="黑体"/>
          <w:sz w:val="32"/>
          <w:szCs w:val="32"/>
        </w:rPr>
        <w:t>绩效</w:t>
      </w:r>
      <w:r>
        <w:rPr>
          <w:rFonts w:ascii="黑体" w:hAnsi="黑体" w:eastAsia="黑体"/>
          <w:sz w:val="32"/>
          <w:szCs w:val="32"/>
        </w:rPr>
        <w:t>情况</w:t>
      </w:r>
    </w:p>
    <w:p>
      <w:pPr>
        <w:tabs>
          <w:tab w:val="left" w:pos="3885"/>
        </w:tabs>
        <w:snapToGrid w:val="0"/>
        <w:spacing w:line="54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w:t>
      </w:r>
      <w:r>
        <w:rPr>
          <w:rFonts w:ascii="楷体_GB2312" w:hAnsi="楷体_GB2312" w:eastAsia="楷体_GB2312" w:cs="楷体_GB2312"/>
          <w:b/>
          <w:bCs/>
          <w:sz w:val="32"/>
          <w:szCs w:val="32"/>
        </w:rPr>
        <w:t>完成</w:t>
      </w:r>
      <w:r>
        <w:rPr>
          <w:rFonts w:hint="eastAsia" w:ascii="楷体_GB2312" w:hAnsi="楷体_GB2312" w:eastAsia="楷体_GB2312" w:cs="楷体_GB2312"/>
          <w:b/>
          <w:bCs/>
          <w:sz w:val="32"/>
          <w:szCs w:val="32"/>
        </w:rPr>
        <w:t>情况</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以上</w:t>
      </w:r>
      <w:r>
        <w:rPr>
          <w:rFonts w:ascii="仿宋_GB2312" w:eastAsia="仿宋_GB2312"/>
          <w:sz w:val="32"/>
          <w:szCs w:val="32"/>
        </w:rPr>
        <w:t>19.91</w:t>
      </w:r>
      <w:r>
        <w:rPr>
          <w:rFonts w:hint="eastAsia" w:ascii="仿宋_GB2312" w:eastAsia="仿宋_GB2312"/>
          <w:sz w:val="32"/>
          <w:szCs w:val="32"/>
        </w:rPr>
        <w:t>万元的项目经费，在决策前充分按照三重一大各项规定，涉及项目承办部室按照工作需要，拟定经费使用计划，各个具体事项按照一事一议的原则，按照项目事项要求，从事由到拨付资金，由部室分管领导提交党组会议研究，就“觉姆暖心包”和《</w:t>
      </w:r>
      <w:r>
        <w:rPr>
          <w:rFonts w:ascii="仿宋_GB2312" w:eastAsia="仿宋_GB2312"/>
          <w:sz w:val="32"/>
          <w:szCs w:val="32"/>
        </w:rPr>
        <w:t>反家庭暴力法视域下涉藏地区妇女权益课题</w:t>
      </w:r>
      <w:r>
        <w:rPr>
          <w:rFonts w:hint="eastAsia" w:ascii="仿宋_GB2312" w:eastAsia="仿宋_GB2312"/>
          <w:sz w:val="32"/>
          <w:szCs w:val="32"/>
        </w:rPr>
        <w:t>》</w:t>
      </w:r>
      <w:r>
        <w:rPr>
          <w:rFonts w:ascii="仿宋_GB2312" w:eastAsia="仿宋_GB2312"/>
          <w:sz w:val="32"/>
          <w:szCs w:val="32"/>
        </w:rPr>
        <w:t>均</w:t>
      </w:r>
      <w:r>
        <w:rPr>
          <w:rFonts w:hint="eastAsia" w:ascii="仿宋_GB2312" w:eastAsia="仿宋_GB2312"/>
          <w:sz w:val="32"/>
          <w:szCs w:val="32"/>
        </w:rPr>
        <w:t>全面上党组会议研究</w:t>
      </w:r>
      <w:r>
        <w:rPr>
          <w:rFonts w:ascii="仿宋_GB2312" w:eastAsia="仿宋_GB2312"/>
          <w:sz w:val="32"/>
          <w:szCs w:val="32"/>
        </w:rPr>
        <w:t>。</w:t>
      </w:r>
    </w:p>
    <w:p>
      <w:pPr>
        <w:tabs>
          <w:tab w:val="left" w:pos="3885"/>
        </w:tabs>
        <w:snapToGrid w:val="0"/>
        <w:spacing w:line="540" w:lineRule="exact"/>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（二）</w:t>
      </w:r>
      <w:r>
        <w:rPr>
          <w:rFonts w:hint="eastAsia" w:ascii="楷体_GB2312" w:hAnsi="楷体_GB2312" w:eastAsia="楷体_GB2312" w:cs="楷体_GB2312"/>
          <w:b/>
          <w:bCs/>
          <w:sz w:val="32"/>
          <w:szCs w:val="32"/>
        </w:rPr>
        <w:t>项目效益情况</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一是</w:t>
      </w:r>
      <w:r>
        <w:rPr>
          <w:rFonts w:ascii="仿宋_GB2312" w:eastAsia="仿宋_GB2312"/>
          <w:sz w:val="32"/>
          <w:szCs w:val="32"/>
        </w:rPr>
        <w:t>11.91</w:t>
      </w:r>
      <w:r>
        <w:rPr>
          <w:rFonts w:hint="eastAsia" w:ascii="仿宋_GB2312" w:eastAsia="仿宋_GB2312"/>
          <w:sz w:val="32"/>
          <w:szCs w:val="32"/>
        </w:rPr>
        <w:t>万元为尼姑姐妹量身制作的“觉姆暖心包”分别发放红原如意空行寺</w:t>
      </w:r>
      <w:r>
        <w:rPr>
          <w:rFonts w:ascii="仿宋_GB2312" w:eastAsia="仿宋_GB2312"/>
          <w:sz w:val="32"/>
          <w:szCs w:val="32"/>
        </w:rPr>
        <w:t>100</w:t>
      </w:r>
      <w:r>
        <w:rPr>
          <w:rFonts w:hint="eastAsia" w:ascii="仿宋_GB2312" w:eastAsia="仿宋_GB2312"/>
          <w:sz w:val="32"/>
          <w:szCs w:val="32"/>
        </w:rPr>
        <w:t>个、阿坝四洼尼姑寺100个、壤塘娜泽求宗</w:t>
      </w:r>
      <w:r>
        <w:rPr>
          <w:rFonts w:ascii="仿宋_GB2312" w:eastAsia="仿宋_GB2312"/>
          <w:sz w:val="32"/>
          <w:szCs w:val="32"/>
        </w:rPr>
        <w:t>和中壤塘镇布康木达尼姑修行点共</w:t>
      </w:r>
      <w:r>
        <w:rPr>
          <w:rFonts w:hint="eastAsia" w:ascii="仿宋_GB2312" w:eastAsia="仿宋_GB2312"/>
          <w:sz w:val="32"/>
          <w:szCs w:val="32"/>
        </w:rPr>
        <w:t>100个，，受益困难觉姆</w:t>
      </w:r>
      <w:r>
        <w:rPr>
          <w:rFonts w:ascii="仿宋_GB2312" w:eastAsia="仿宋_GB2312"/>
          <w:sz w:val="32"/>
          <w:szCs w:val="32"/>
        </w:rPr>
        <w:t>300</w:t>
      </w:r>
      <w:r>
        <w:rPr>
          <w:rFonts w:hint="eastAsia" w:ascii="仿宋_GB2312" w:eastAsia="仿宋_GB2312"/>
          <w:sz w:val="32"/>
          <w:szCs w:val="32"/>
        </w:rPr>
        <w:t>名，深受尼姑姐妹欢迎。二是</w:t>
      </w:r>
      <w:r>
        <w:rPr>
          <w:rFonts w:ascii="仿宋_GB2312" w:eastAsia="仿宋_GB2312"/>
          <w:sz w:val="32"/>
          <w:szCs w:val="32"/>
        </w:rPr>
        <w:t>使用6万元</w:t>
      </w:r>
      <w:r>
        <w:rPr>
          <w:rFonts w:hint="eastAsia" w:ascii="仿宋_GB2312" w:eastAsia="仿宋_GB2312"/>
          <w:sz w:val="32"/>
          <w:szCs w:val="32"/>
        </w:rPr>
        <w:t>委托四川省民族研究会开展</w:t>
      </w:r>
      <w:r>
        <w:rPr>
          <w:rFonts w:ascii="仿宋_GB2312" w:eastAsia="仿宋_GB2312"/>
          <w:sz w:val="32"/>
          <w:szCs w:val="32"/>
        </w:rPr>
        <w:t>反家庭暴力法视域下涉藏地区妇女权益课题</w:t>
      </w:r>
      <w:r>
        <w:rPr>
          <w:rFonts w:hint="eastAsia" w:ascii="仿宋_GB2312" w:eastAsia="仿宋_GB2312"/>
          <w:sz w:val="32"/>
          <w:szCs w:val="32"/>
        </w:rPr>
        <w:t>研究，减少家暴对民众尤其是弱势群体的影响，促使妇女维权意识逐渐提升，权益得到充分保障。三是</w:t>
      </w:r>
      <w:r>
        <w:rPr>
          <w:rFonts w:ascii="仿宋_GB2312" w:eastAsia="仿宋_GB2312"/>
          <w:sz w:val="32"/>
          <w:szCs w:val="32"/>
        </w:rPr>
        <w:t>用2万元，委托金川县东女之爱志愿者协会进行项目化关爱2020年9.14拉姆案两名困境儿童，逐渐消除两名困境儿童的心理阴影，促进其健康成长。</w:t>
      </w:r>
    </w:p>
    <w:p>
      <w:pPr>
        <w:tabs>
          <w:tab w:val="left" w:pos="3885"/>
        </w:tabs>
        <w:snapToGrid w:val="0"/>
        <w:spacing w:line="540" w:lineRule="exact"/>
        <w:jc w:val="left"/>
        <w:rPr>
          <w:rFonts w:ascii="黑体" w:hAnsi="黑体" w:eastAsia="黑体"/>
          <w:sz w:val="32"/>
          <w:szCs w:val="32"/>
        </w:rPr>
      </w:pPr>
      <w:r>
        <w:rPr>
          <w:rFonts w:ascii="黑体" w:hAnsi="黑体" w:eastAsia="黑体"/>
          <w:sz w:val="32"/>
          <w:szCs w:val="32"/>
        </w:rPr>
        <w:t>四、</w:t>
      </w:r>
      <w:r>
        <w:rPr>
          <w:rFonts w:hint="eastAsia" w:ascii="黑体" w:hAnsi="黑体" w:eastAsia="黑体"/>
          <w:sz w:val="32"/>
          <w:szCs w:val="32"/>
        </w:rPr>
        <w:t>问题</w:t>
      </w:r>
      <w:r>
        <w:rPr>
          <w:rFonts w:ascii="黑体" w:hAnsi="黑体" w:eastAsia="黑体"/>
          <w:sz w:val="32"/>
          <w:szCs w:val="32"/>
        </w:rPr>
        <w:t>及建议</w:t>
      </w:r>
    </w:p>
    <w:p>
      <w:pPr>
        <w:tabs>
          <w:tab w:val="left" w:pos="3885"/>
        </w:tabs>
        <w:snapToGrid w:val="0"/>
        <w:spacing w:line="54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ascii="楷体_GB2312" w:hAnsi="楷体_GB2312" w:eastAsia="楷体_GB2312" w:cs="楷体_GB2312"/>
          <w:b/>
          <w:bCs/>
          <w:sz w:val="32"/>
          <w:szCs w:val="32"/>
        </w:rPr>
        <w:t>存在的问题</w:t>
      </w:r>
    </w:p>
    <w:p>
      <w:pPr>
        <w:spacing w:line="540" w:lineRule="exact"/>
        <w:ind w:firstLine="320" w:firstLineChars="100"/>
        <w:rPr>
          <w:rFonts w:ascii="仿宋_GB2312" w:eastAsia="仿宋_GB2312"/>
          <w:sz w:val="32"/>
          <w:szCs w:val="32"/>
        </w:rPr>
      </w:pPr>
      <w:r>
        <w:rPr>
          <w:rFonts w:ascii="仿宋_GB2312" w:eastAsia="仿宋_GB2312"/>
          <w:sz w:val="32"/>
          <w:szCs w:val="32"/>
        </w:rPr>
        <w:t>一是</w:t>
      </w:r>
      <w:r>
        <w:rPr>
          <w:rFonts w:hint="eastAsia" w:ascii="仿宋_GB2312" w:eastAsia="仿宋_GB2312"/>
          <w:sz w:val="32"/>
          <w:szCs w:val="32"/>
        </w:rPr>
        <w:t>在工作中发现“觉姆暖心包”需求量大，但就我会的</w:t>
      </w:r>
      <w:r>
        <w:rPr>
          <w:rFonts w:ascii="仿宋_GB2312" w:eastAsia="仿宋_GB2312"/>
          <w:sz w:val="32"/>
          <w:szCs w:val="32"/>
        </w:rPr>
        <w:t>12</w:t>
      </w:r>
      <w:r>
        <w:rPr>
          <w:rFonts w:hint="eastAsia" w:ascii="仿宋_GB2312" w:eastAsia="仿宋_GB2312"/>
          <w:sz w:val="32"/>
          <w:szCs w:val="32"/>
        </w:rPr>
        <w:t>万元的经费，远远不能满足尼姑群体的需求</w:t>
      </w:r>
      <w:r>
        <w:rPr>
          <w:rFonts w:ascii="仿宋_GB2312" w:eastAsia="仿宋_GB2312"/>
          <w:sz w:val="32"/>
          <w:szCs w:val="32"/>
        </w:rPr>
        <w:t>；二是反家庭暴力法视域下涉藏地区妇女权益课题</w:t>
      </w:r>
      <w:r>
        <w:rPr>
          <w:rFonts w:hint="eastAsia" w:ascii="仿宋_GB2312" w:eastAsia="仿宋_GB2312"/>
          <w:sz w:val="32"/>
          <w:szCs w:val="32"/>
        </w:rPr>
        <w:t>研究，存在的问题分析透彻、下一步的措施具体明了，但在后续帮扶措施经费不足</w:t>
      </w:r>
      <w:r>
        <w:rPr>
          <w:rFonts w:ascii="仿宋_GB2312" w:eastAsia="仿宋_GB2312"/>
          <w:sz w:val="32"/>
          <w:szCs w:val="32"/>
        </w:rPr>
        <w:t>；三是驱散拉姆案两名困境儿童心理阴影效果明显，但不排除有反弹风险。</w:t>
      </w:r>
    </w:p>
    <w:p>
      <w:pPr>
        <w:tabs>
          <w:tab w:val="left" w:pos="3885"/>
        </w:tabs>
        <w:snapToGrid w:val="0"/>
        <w:spacing w:line="54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二</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相关建议</w:t>
      </w:r>
    </w:p>
    <w:p>
      <w:pPr>
        <w:spacing w:line="540" w:lineRule="exact"/>
        <w:ind w:firstLine="320" w:firstLineChars="100"/>
        <w:rPr>
          <w:rFonts w:ascii="仿宋_GB2312" w:eastAsia="仿宋_GB2312"/>
          <w:sz w:val="32"/>
          <w:szCs w:val="32"/>
        </w:rPr>
      </w:pPr>
      <w:r>
        <w:rPr>
          <w:rFonts w:hint="eastAsia" w:ascii="仿宋_GB2312" w:eastAsia="仿宋_GB2312"/>
          <w:sz w:val="32"/>
          <w:szCs w:val="32"/>
        </w:rPr>
        <w:t>一是加大对妇女儿童特殊群体的帮扶力度，给予专项资金保障；二是针对制约妇女儿童发展的堵点、难点问题，建议财政在资金拨付上给予重点支持和倾斜</w:t>
      </w:r>
      <w:r>
        <w:rPr>
          <w:rFonts w:ascii="仿宋_GB2312" w:eastAsia="仿宋_GB2312"/>
          <w:sz w:val="32"/>
          <w:szCs w:val="32"/>
        </w:rPr>
        <w:t>；三是对拉姆案两名困境儿童的项目化专业关爱还需持续推进。</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684"/>
        <w:gridCol w:w="458"/>
        <w:gridCol w:w="251"/>
        <w:gridCol w:w="141"/>
        <w:gridCol w:w="1243"/>
        <w:gridCol w:w="175"/>
        <w:gridCol w:w="850"/>
        <w:gridCol w:w="426"/>
        <w:gridCol w:w="141"/>
        <w:gridCol w:w="821"/>
        <w:gridCol w:w="313"/>
        <w:gridCol w:w="142"/>
        <w:gridCol w:w="1954"/>
        <w:gridCol w:w="236"/>
      </w:tblGrid>
      <w:tr>
        <w:tblPrEx>
          <w:tblCellMar>
            <w:top w:w="0" w:type="dxa"/>
            <w:left w:w="108" w:type="dxa"/>
            <w:bottom w:w="0" w:type="dxa"/>
            <w:right w:w="108" w:type="dxa"/>
          </w:tblCellMar>
        </w:tblPrEx>
        <w:trPr>
          <w:trHeight w:val="675" w:hRule="atLeast"/>
        </w:trPr>
        <w:tc>
          <w:tcPr>
            <w:tcW w:w="9575" w:type="dxa"/>
            <w:gridSpan w:val="14"/>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2021年部门预算项目绩效目标自评</w:t>
            </w:r>
          </w:p>
          <w:p>
            <w:pPr>
              <w:tabs>
                <w:tab w:val="left" w:pos="3885"/>
              </w:tabs>
              <w:snapToGrid w:val="0"/>
              <w:spacing w:line="600" w:lineRule="exact"/>
              <w:jc w:val="center"/>
              <w:rPr>
                <w:rFonts w:ascii="楷体_GB2312" w:hAnsi="宋体" w:eastAsia="楷体_GB2312"/>
                <w:b/>
                <w:sz w:val="32"/>
                <w:szCs w:val="32"/>
              </w:rPr>
            </w:pPr>
            <w:r>
              <w:rPr>
                <w:rFonts w:hint="eastAsia" w:ascii="楷体_GB2312" w:hAnsi="宋体" w:eastAsia="楷体_GB2312"/>
                <w:b/>
                <w:sz w:val="32"/>
                <w:szCs w:val="32"/>
              </w:rPr>
              <w:t>（1+N工作经费）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26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31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118101</w:t>
            </w:r>
          </w:p>
        </w:tc>
        <w:tc>
          <w:tcPr>
            <w:tcW w:w="17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gridAfter w:val="1"/>
          <w:wAfter w:w="236" w:type="dxa"/>
          <w:trHeight w:val="341" w:hRule="atLeast"/>
        </w:trPr>
        <w:tc>
          <w:tcPr>
            <w:tcW w:w="2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项目预算</w:t>
            </w:r>
          </w:p>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执行情况</w:t>
            </w:r>
          </w:p>
          <w:p>
            <w:pPr>
              <w:widowControl/>
              <w:spacing w:line="320" w:lineRule="exact"/>
              <w:ind w:firstLine="560" w:firstLineChars="200"/>
              <w:jc w:val="center"/>
              <w:textAlignment w:val="center"/>
              <w:rPr>
                <w:rFonts w:ascii="仿宋_GB2312" w:eastAsia="仿宋_GB2312" w:cs="宋体"/>
                <w:sz w:val="28"/>
                <w:szCs w:val="28"/>
              </w:rPr>
            </w:pPr>
            <w:r>
              <w:rPr>
                <w:rFonts w:hint="eastAsia" w:ascii="仿宋_GB2312" w:eastAsia="仿宋_GB2312" w:cs="宋体"/>
                <w:kern w:val="0"/>
                <w:sz w:val="28"/>
                <w:szCs w:val="28"/>
              </w:rPr>
              <w:t>（万元）</w:t>
            </w: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12万元</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right="560"/>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11.91万元</w:t>
            </w:r>
          </w:p>
        </w:tc>
      </w:tr>
      <w:tr>
        <w:tblPrEx>
          <w:tblCellMar>
            <w:top w:w="0" w:type="dxa"/>
            <w:left w:w="108" w:type="dxa"/>
            <w:bottom w:w="0" w:type="dxa"/>
            <w:right w:w="108" w:type="dxa"/>
          </w:tblCellMar>
        </w:tblPrEx>
        <w:trPr>
          <w:gridAfter w:val="1"/>
          <w:wAfter w:w="236" w:type="dxa"/>
          <w:trHeight w:val="555" w:hRule="atLeast"/>
        </w:trPr>
        <w:tc>
          <w:tcPr>
            <w:tcW w:w="2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12万元</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11.91万元</w:t>
            </w:r>
          </w:p>
        </w:tc>
      </w:tr>
      <w:tr>
        <w:tblPrEx>
          <w:tblCellMar>
            <w:top w:w="0" w:type="dxa"/>
            <w:left w:w="108" w:type="dxa"/>
            <w:bottom w:w="0" w:type="dxa"/>
            <w:right w:w="108" w:type="dxa"/>
          </w:tblCellMar>
        </w:tblPrEx>
        <w:trPr>
          <w:gridAfter w:val="1"/>
          <w:wAfter w:w="236" w:type="dxa"/>
          <w:trHeight w:val="341" w:hRule="atLeast"/>
        </w:trPr>
        <w:tc>
          <w:tcPr>
            <w:tcW w:w="2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w:t>
            </w:r>
          </w:p>
          <w:p>
            <w:pPr>
              <w:widowControl/>
              <w:spacing w:line="320" w:lineRule="exact"/>
              <w:ind w:firstLine="560" w:firstLineChars="200"/>
              <w:jc w:val="center"/>
              <w:textAlignment w:val="center"/>
              <w:rPr>
                <w:rFonts w:ascii="仿宋_GB2312" w:eastAsia="仿宋_GB2312" w:cs="宋体"/>
                <w:sz w:val="28"/>
                <w:szCs w:val="28"/>
              </w:rPr>
            </w:pPr>
            <w:r>
              <w:rPr>
                <w:rFonts w:hint="eastAsia" w:ascii="仿宋_GB2312" w:eastAsia="仿宋_GB2312" w:cs="宋体"/>
                <w:kern w:val="0"/>
                <w:sz w:val="28"/>
                <w:szCs w:val="28"/>
              </w:rPr>
              <w:t>完成情况</w:t>
            </w:r>
          </w:p>
        </w:tc>
        <w:tc>
          <w:tcPr>
            <w:tcW w:w="422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3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422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拟完成觉姆暖心包300个的定制和发放工作。</w:t>
            </w:r>
          </w:p>
        </w:tc>
        <w:tc>
          <w:tcPr>
            <w:tcW w:w="33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完成觉姆暖心包300个的定制和发放工作。</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393" w:type="dxa"/>
            <w:gridSpan w:val="3"/>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一级指标</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三级指标</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完成指标</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觉姆包数</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300个</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300个</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暖心包七件套</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暖心包七件套</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暖心包七件套</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项目资金</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12万元</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11.91万元</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效益指标</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关爱特殊群体</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维护稳定，促进统一战线。</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维护稳定，促进统一战线。</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维护社会稳定</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维护稳定，促进统一战线。</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维护稳定，促进统一战线。</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14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受益群众满意度</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r>
      <w:tr>
        <w:tblPrEx>
          <w:tblCellMar>
            <w:top w:w="0" w:type="dxa"/>
            <w:left w:w="108" w:type="dxa"/>
            <w:bottom w:w="0" w:type="dxa"/>
            <w:right w:w="108" w:type="dxa"/>
          </w:tblCellMar>
        </w:tblPrEx>
        <w:trPr>
          <w:trHeight w:val="675" w:hRule="atLeast"/>
        </w:trPr>
        <w:tc>
          <w:tcPr>
            <w:tcW w:w="9575" w:type="dxa"/>
            <w:gridSpan w:val="14"/>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sz w:val="44"/>
                <w:szCs w:val="44"/>
              </w:rPr>
            </w:pPr>
          </w:p>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widowControl/>
              <w:jc w:val="center"/>
              <w:textAlignment w:val="center"/>
              <w:rPr>
                <w:rFonts w:ascii="楷体_GB2312" w:hAnsi="宋体" w:eastAsia="楷体_GB2312"/>
                <w:b/>
                <w:sz w:val="32"/>
                <w:szCs w:val="32"/>
              </w:rPr>
            </w:pPr>
            <w:r>
              <w:rPr>
                <w:rFonts w:hint="eastAsia" w:ascii="楷体_GB2312" w:hAnsi="宋体" w:eastAsia="楷体_GB2312"/>
                <w:b/>
                <w:sz w:val="32"/>
                <w:szCs w:val="32"/>
              </w:rPr>
              <w:t>（1+N工作经费）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322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118101</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项目预算</w:t>
            </w:r>
          </w:p>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执行情况</w:t>
            </w:r>
          </w:p>
          <w:p>
            <w:pPr>
              <w:widowControl/>
              <w:spacing w:line="320" w:lineRule="exact"/>
              <w:ind w:firstLine="560" w:firstLineChars="200"/>
              <w:jc w:val="center"/>
              <w:textAlignment w:val="center"/>
              <w:rPr>
                <w:rFonts w:ascii="仿宋_GB2312" w:eastAsia="仿宋_GB2312" w:cs="宋体"/>
                <w:sz w:val="28"/>
                <w:szCs w:val="28"/>
              </w:rPr>
            </w:pPr>
            <w:r>
              <w:rPr>
                <w:rFonts w:hint="eastAsia" w:ascii="仿宋_GB2312" w:eastAsia="仿宋_GB2312" w:cs="宋体"/>
                <w:kern w:val="0"/>
                <w:sz w:val="28"/>
                <w:szCs w:val="28"/>
              </w:rPr>
              <w:t>（万元）</w:t>
            </w:r>
          </w:p>
        </w:tc>
        <w:tc>
          <w:tcPr>
            <w:tcW w:w="1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15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6万元</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right="420"/>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6万元</w:t>
            </w:r>
          </w:p>
        </w:tc>
      </w:tr>
      <w:tr>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15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6万元</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6万元</w:t>
            </w:r>
          </w:p>
        </w:tc>
      </w:tr>
      <w:tr>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5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w:t>
            </w:r>
          </w:p>
          <w:p>
            <w:pPr>
              <w:widowControl/>
              <w:spacing w:line="320" w:lineRule="exact"/>
              <w:ind w:firstLine="560" w:firstLineChars="200"/>
              <w:jc w:val="center"/>
              <w:textAlignment w:val="center"/>
              <w:rPr>
                <w:rFonts w:ascii="仿宋_GB2312" w:eastAsia="仿宋_GB2312" w:cs="宋体"/>
                <w:sz w:val="28"/>
                <w:szCs w:val="28"/>
              </w:rPr>
            </w:pPr>
            <w:r>
              <w:rPr>
                <w:rFonts w:hint="eastAsia" w:ascii="仿宋_GB2312" w:eastAsia="仿宋_GB2312" w:cs="宋体"/>
                <w:kern w:val="0"/>
                <w:sz w:val="28"/>
                <w:szCs w:val="28"/>
              </w:rPr>
              <w:t>完成情况</w:t>
            </w:r>
          </w:p>
        </w:tc>
        <w:tc>
          <w:tcPr>
            <w:tcW w:w="436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2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436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拟完成反家暴法视域下涉藏地区妇女权益课题研究。</w:t>
            </w:r>
          </w:p>
        </w:tc>
        <w:tc>
          <w:tcPr>
            <w:tcW w:w="32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邀请四川省民族研究会完成反家暴法视域下涉藏地区妇女权益课题研究。</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534" w:type="dxa"/>
            <w:gridSpan w:val="4"/>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一级指标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二级指标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三级指标</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预期指标值</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完成指标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数量指标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课题调研报告</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1个</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1个</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sz w:val="28"/>
                <w:szCs w:val="28"/>
              </w:rPr>
            </w:pP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质量指标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调研报告</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高质量调研报告</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高质量调研报告</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sz w:val="28"/>
                <w:szCs w:val="28"/>
              </w:rPr>
            </w:pP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时效指标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2021年12月前完成</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2021年12月前完成</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2021年12月前完成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sz w:val="28"/>
                <w:szCs w:val="28"/>
              </w:rPr>
            </w:pP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成本指标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项目资金</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6万元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6万元</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效益指标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社会效益指标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妇女维权</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唤起社会各界对反家暴更多的关注和参与</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对涉藏地区妇女权益保障和维权状况展开调研，唤起社会各界更多的关注和参与，促使妇女维权意识逐渐提升，权益得到充分保障。</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cs="宋体"/>
                <w:sz w:val="28"/>
                <w:szCs w:val="28"/>
              </w:rPr>
            </w:pP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可持续影响指标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妇女维权</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唤起社会各界对反家暴更多的关注和参与统一战线。</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宋体"/>
                <w:sz w:val="28"/>
                <w:szCs w:val="28"/>
              </w:rPr>
            </w:pPr>
            <w:r>
              <w:rPr>
                <w:rFonts w:hint="eastAsia" w:ascii="仿宋_GB2312" w:eastAsia="仿宋_GB2312" w:cs="宋体"/>
                <w:sz w:val="28"/>
                <w:szCs w:val="28"/>
              </w:rPr>
              <w:t>妇女维权意识逐渐提升，权益得到充分保障。</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4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群众满意度</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r>
    </w:tbl>
    <w:p>
      <w:pPr>
        <w:spacing w:line="540" w:lineRule="exact"/>
        <w:ind w:firstLine="320" w:firstLineChars="100"/>
        <w:jc w:val="center"/>
        <w:rPr>
          <w:rFonts w:ascii="仿宋_GB2312" w:eastAsia="仿宋_GB2312"/>
          <w:sz w:val="32"/>
          <w:szCs w:val="32"/>
        </w:rPr>
      </w:pP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2025"/>
        <w:gridCol w:w="1170"/>
        <w:gridCol w:w="174"/>
        <w:gridCol w:w="1501"/>
        <w:gridCol w:w="483"/>
        <w:gridCol w:w="1134"/>
        <w:gridCol w:w="1701"/>
        <w:gridCol w:w="1623"/>
      </w:tblGrid>
      <w:tr>
        <w:tblPrEx>
          <w:tblCellMar>
            <w:top w:w="0" w:type="dxa"/>
            <w:left w:w="108" w:type="dxa"/>
            <w:bottom w:w="0" w:type="dxa"/>
            <w:right w:w="108" w:type="dxa"/>
          </w:tblCellMar>
        </w:tblPrEx>
        <w:trPr>
          <w:trHeight w:val="675" w:hRule="atLeast"/>
        </w:trPr>
        <w:tc>
          <w:tcPr>
            <w:tcW w:w="9811" w:type="dxa"/>
            <w:gridSpan w:val="8"/>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widowControl/>
              <w:jc w:val="center"/>
              <w:textAlignment w:val="center"/>
              <w:rPr>
                <w:rFonts w:ascii="宋体" w:cs="宋体"/>
                <w:b/>
                <w:sz w:val="32"/>
                <w:szCs w:val="32"/>
              </w:rPr>
            </w:pPr>
            <w:r>
              <w:rPr>
                <w:rFonts w:hint="eastAsia" w:ascii="楷体_GB2312" w:hAnsi="宋体" w:eastAsia="楷体_GB2312"/>
                <w:b/>
                <w:sz w:val="32"/>
                <w:szCs w:val="32"/>
              </w:rPr>
              <w:t>（1+N工作经费）</w:t>
            </w:r>
          </w:p>
        </w:tc>
      </w:tr>
      <w:tr>
        <w:tblPrEx>
          <w:tblCellMar>
            <w:top w:w="0" w:type="dxa"/>
            <w:left w:w="108" w:type="dxa"/>
            <w:bottom w:w="0" w:type="dxa"/>
            <w:right w:w="108" w:type="dxa"/>
          </w:tblCellMar>
        </w:tblPrEx>
        <w:trPr>
          <w:trHeight w:val="254" w:hRule="atLeast"/>
        </w:trPr>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32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118101</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trHeight w:val="341" w:hRule="atLeast"/>
        </w:trPr>
        <w:tc>
          <w:tcPr>
            <w:tcW w:w="3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项目预算执行情况（万元）</w:t>
            </w:r>
          </w:p>
        </w:tc>
        <w:tc>
          <w:tcPr>
            <w:tcW w:w="215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2万元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2万元</w:t>
            </w:r>
          </w:p>
        </w:tc>
      </w:tr>
      <w:tr>
        <w:tblPrEx>
          <w:tblCellMar>
            <w:top w:w="0" w:type="dxa"/>
            <w:left w:w="108" w:type="dxa"/>
            <w:bottom w:w="0" w:type="dxa"/>
            <w:right w:w="108" w:type="dxa"/>
          </w:tblCellMar>
        </w:tblPrEx>
        <w:trPr>
          <w:trHeight w:val="555"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15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2万元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w:t>
            </w:r>
          </w:p>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财政拨款</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hAnsi="仿宋_GB2312" w:eastAsia="仿宋_GB2312" w:cs="仿宋_GB2312"/>
                <w:sz w:val="28"/>
                <w:szCs w:val="28"/>
              </w:rPr>
              <w:t>2万元</w:t>
            </w:r>
          </w:p>
        </w:tc>
      </w:tr>
      <w:tr>
        <w:tblPrEx>
          <w:tblCellMar>
            <w:top w:w="0" w:type="dxa"/>
            <w:left w:w="108" w:type="dxa"/>
            <w:bottom w:w="0" w:type="dxa"/>
            <w:right w:w="108" w:type="dxa"/>
          </w:tblCellMar>
        </w:tblPrEx>
        <w:trPr>
          <w:trHeight w:val="341"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15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p>
        </w:tc>
      </w:tr>
      <w:tr>
        <w:tblPrEx>
          <w:tblCellMar>
            <w:top w:w="0" w:type="dxa"/>
            <w:left w:w="108" w:type="dxa"/>
            <w:bottom w:w="0" w:type="dxa"/>
            <w:right w:w="108" w:type="dxa"/>
          </w:tblCellMar>
        </w:tblPrEx>
        <w:trPr>
          <w:trHeight w:val="217" w:hRule="atLeast"/>
        </w:trPr>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年度总体目标完成情况</w:t>
            </w:r>
          </w:p>
        </w:tc>
        <w:tc>
          <w:tcPr>
            <w:tcW w:w="446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trHeight w:val="797"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446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拟完成对9.14拉姆案两名困境儿童为期一年的项目化关爱</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完成对9.14拉姆案两名困境儿童为期一年的项目化关爱</w:t>
            </w:r>
          </w:p>
        </w:tc>
      </w:tr>
      <w:tr>
        <w:tblPrEx>
          <w:tblCellMar>
            <w:top w:w="0" w:type="dxa"/>
            <w:left w:w="108" w:type="dxa"/>
            <w:bottom w:w="0" w:type="dxa"/>
            <w:right w:w="108" w:type="dxa"/>
          </w:tblCellMar>
        </w:tblPrEx>
        <w:trPr>
          <w:trHeight w:val="693" w:hRule="atLeast"/>
        </w:trPr>
        <w:tc>
          <w:tcPr>
            <w:tcW w:w="2025"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344"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三级指标</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trHeight w:val="415"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服务困境儿童数</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2个</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2个</w:t>
            </w:r>
          </w:p>
        </w:tc>
      </w:tr>
      <w:tr>
        <w:tblPrEx>
          <w:tblCellMar>
            <w:top w:w="0" w:type="dxa"/>
            <w:left w:w="108" w:type="dxa"/>
            <w:bottom w:w="0" w:type="dxa"/>
            <w:right w:w="108" w:type="dxa"/>
          </w:tblCellMar>
        </w:tblPrEx>
        <w:trPr>
          <w:trHeight w:val="415"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项目化关爱</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项目化关爱</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项目化关爱</w:t>
            </w:r>
          </w:p>
        </w:tc>
      </w:tr>
      <w:tr>
        <w:tblPrEx>
          <w:tblCellMar>
            <w:top w:w="0" w:type="dxa"/>
            <w:left w:w="108" w:type="dxa"/>
            <w:bottom w:w="0" w:type="dxa"/>
            <w:right w:w="108" w:type="dxa"/>
          </w:tblCellMar>
        </w:tblPrEx>
        <w:trPr>
          <w:trHeight w:val="415"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2021年12月前完成</w:t>
            </w:r>
          </w:p>
        </w:tc>
      </w:tr>
      <w:tr>
        <w:tblPrEx>
          <w:tblCellMar>
            <w:top w:w="0" w:type="dxa"/>
            <w:left w:w="108" w:type="dxa"/>
            <w:bottom w:w="0" w:type="dxa"/>
            <w:right w:w="108" w:type="dxa"/>
          </w:tblCellMar>
        </w:tblPrEx>
        <w:trPr>
          <w:trHeight w:val="480"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项目资金</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2万元</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2万元</w:t>
            </w:r>
          </w:p>
        </w:tc>
      </w:tr>
      <w:tr>
        <w:tblPrEx>
          <w:tblCellMar>
            <w:top w:w="0" w:type="dxa"/>
            <w:left w:w="108" w:type="dxa"/>
            <w:bottom w:w="0" w:type="dxa"/>
            <w:right w:w="108" w:type="dxa"/>
          </w:tblCellMar>
        </w:tblPrEx>
        <w:trPr>
          <w:trHeight w:val="480"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无</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trHeight w:val="480"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关爱困境儿童</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关爱困境儿童</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关爱困境儿童</w:t>
            </w:r>
          </w:p>
        </w:tc>
      </w:tr>
      <w:tr>
        <w:tblPrEx>
          <w:tblCellMar>
            <w:top w:w="0" w:type="dxa"/>
            <w:left w:w="108" w:type="dxa"/>
            <w:bottom w:w="0" w:type="dxa"/>
            <w:right w:w="108" w:type="dxa"/>
          </w:tblCellMar>
        </w:tblPrEx>
        <w:trPr>
          <w:trHeight w:val="577"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无</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trHeight w:val="480" w:hRule="atLeast"/>
        </w:trPr>
        <w:tc>
          <w:tcPr>
            <w:tcW w:w="2025"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关爱困境儿童</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驱散困境儿童心理阴霾</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驱散困境儿童心理阴霾，促进健康成长。</w:t>
            </w:r>
          </w:p>
        </w:tc>
      </w:tr>
      <w:tr>
        <w:tblPrEx>
          <w:tblCellMar>
            <w:top w:w="0" w:type="dxa"/>
            <w:left w:w="108" w:type="dxa"/>
            <w:bottom w:w="0" w:type="dxa"/>
            <w:right w:w="108" w:type="dxa"/>
          </w:tblCellMar>
        </w:tblPrEx>
        <w:trPr>
          <w:trHeight w:val="530" w:hRule="atLeast"/>
        </w:trPr>
        <w:tc>
          <w:tcPr>
            <w:tcW w:w="2025"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受益群众满意度</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r>
    </w:tbl>
    <w:p>
      <w:pPr>
        <w:spacing w:line="540" w:lineRule="exact"/>
        <w:ind w:firstLine="320" w:firstLineChars="100"/>
        <w:rPr>
          <w:rFonts w:ascii="仿宋_GB2312" w:eastAsia="仿宋_GB2312"/>
          <w:sz w:val="32"/>
          <w:szCs w:val="32"/>
        </w:rPr>
      </w:pPr>
    </w:p>
    <w:p>
      <w:pPr>
        <w:snapToGrid w:val="0"/>
        <w:spacing w:line="600" w:lineRule="exact"/>
        <w:jc w:val="center"/>
        <w:rPr>
          <w:rFonts w:ascii="方正小标宋简体" w:hAnsi="宋体" w:eastAsia="方正小标宋简体"/>
          <w:sz w:val="44"/>
          <w:szCs w:val="44"/>
        </w:rPr>
      </w:pPr>
    </w:p>
    <w:p>
      <w:pPr>
        <w:snapToGrid w:val="0"/>
        <w:spacing w:line="600" w:lineRule="exact"/>
        <w:jc w:val="center"/>
        <w:rPr>
          <w:rFonts w:ascii="华文仿宋" w:hAnsi="华文仿宋" w:eastAsia="华文仿宋" w:cs="华文仿宋"/>
          <w:sz w:val="24"/>
        </w:rPr>
      </w:pPr>
      <w:r>
        <w:rPr>
          <w:rFonts w:hint="eastAsia" w:ascii="方正小标宋简体" w:hAnsi="宋体" w:eastAsia="方正小标宋简体"/>
          <w:sz w:val="44"/>
          <w:szCs w:val="44"/>
        </w:rPr>
        <w:t>2021年专项预算项目支出绩效评价报告</w:t>
      </w:r>
    </w:p>
    <w:p>
      <w:pPr>
        <w:snapToGrid w:val="0"/>
        <w:spacing w:line="576" w:lineRule="exact"/>
        <w:ind w:firstLine="642" w:firstLineChars="200"/>
        <w:jc w:val="center"/>
        <w:rPr>
          <w:rFonts w:ascii="楷体_GB2312" w:hAnsi="华文仿宋" w:eastAsia="楷体_GB2312" w:cs="华文仿宋"/>
          <w:b/>
          <w:bCs/>
          <w:sz w:val="32"/>
          <w:szCs w:val="32"/>
        </w:rPr>
      </w:pPr>
      <w:r>
        <w:rPr>
          <w:rFonts w:hint="eastAsia" w:ascii="楷体_GB2312" w:hAnsi="华文仿宋" w:eastAsia="楷体_GB2312" w:cs="华文仿宋"/>
          <w:b/>
          <w:bCs/>
          <w:sz w:val="32"/>
          <w:szCs w:val="32"/>
        </w:rPr>
        <w:t>（妇女儿童专项经费）</w:t>
      </w:r>
    </w:p>
    <w:p>
      <w:pPr>
        <w:snapToGrid w:val="0"/>
        <w:spacing w:line="576"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一、</w:t>
      </w:r>
      <w:r>
        <w:rPr>
          <w:rFonts w:ascii="黑体" w:hAnsi="黑体" w:eastAsia="黑体"/>
          <w:color w:val="000000" w:themeColor="text1"/>
          <w:sz w:val="32"/>
          <w:szCs w:val="32"/>
        </w:rPr>
        <w:t>项目概况</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w:t>
      </w:r>
      <w:r>
        <w:rPr>
          <w:rFonts w:ascii="楷体_GB2312" w:hAnsi="楷体_GB2312" w:eastAsia="楷体_GB2312" w:cs="楷体_GB2312"/>
          <w:b/>
          <w:bCs/>
          <w:sz w:val="32"/>
          <w:szCs w:val="32"/>
        </w:rPr>
        <w:t>资金申报及批复情况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妇女儿童专项经费1</w:t>
      </w:r>
      <w:r>
        <w:rPr>
          <w:rFonts w:ascii="仿宋_GB2312" w:eastAsia="仿宋_GB2312"/>
          <w:sz w:val="32"/>
          <w:szCs w:val="32"/>
        </w:rPr>
        <w:t>1</w:t>
      </w:r>
      <w:r>
        <w:rPr>
          <w:rFonts w:hint="eastAsia" w:ascii="仿宋_GB2312" w:eastAsia="仿宋_GB2312"/>
          <w:sz w:val="32"/>
          <w:szCs w:val="32"/>
        </w:rPr>
        <w:t>万元用于</w:t>
      </w:r>
      <w:r>
        <w:rPr>
          <w:rFonts w:ascii="仿宋_GB2312" w:eastAsia="仿宋_GB2312"/>
          <w:sz w:val="32"/>
          <w:szCs w:val="32"/>
        </w:rPr>
        <w:t>2021年州级“最美家庭”奖牌证书制作费</w:t>
      </w:r>
      <w:r>
        <w:rPr>
          <w:rFonts w:hint="eastAsia" w:ascii="仿宋_GB2312" w:eastAsia="仿宋_GB2312"/>
          <w:sz w:val="32"/>
          <w:szCs w:val="32"/>
        </w:rPr>
        <w:t>、“净土春晖”</w:t>
      </w:r>
      <w:r>
        <w:rPr>
          <w:rFonts w:ascii="仿宋_GB2312" w:eastAsia="仿宋_GB2312"/>
          <w:sz w:val="32"/>
          <w:szCs w:val="32"/>
        </w:rPr>
        <w:t>巡讲活动食宿费、黑籽儿家教感恩回馈巡讲活动租车费</w:t>
      </w:r>
      <w:r>
        <w:rPr>
          <w:rFonts w:hint="eastAsia" w:ascii="仿宋_GB2312" w:eastAsia="仿宋_GB2312"/>
          <w:sz w:val="32"/>
          <w:szCs w:val="32"/>
        </w:rPr>
        <w:t>、</w:t>
      </w:r>
      <w:r>
        <w:rPr>
          <w:rFonts w:ascii="仿宋_GB2312" w:eastAsia="仿宋_GB2312"/>
          <w:sz w:val="32"/>
          <w:szCs w:val="32"/>
        </w:rPr>
        <w:t>妇女儿童相关工作调研差旅费</w:t>
      </w:r>
      <w:r>
        <w:rPr>
          <w:rFonts w:hint="eastAsia" w:ascii="仿宋_GB2312" w:eastAsia="仿宋_GB2312"/>
          <w:sz w:val="32"/>
          <w:szCs w:val="32"/>
        </w:rPr>
        <w:t>等各项工作</w:t>
      </w:r>
      <w:r>
        <w:rPr>
          <w:rFonts w:ascii="仿宋_GB2312" w:eastAsia="仿宋_GB2312"/>
          <w:sz w:val="32"/>
          <w:szCs w:val="32"/>
        </w:rPr>
        <w:t>支出</w:t>
      </w:r>
      <w:r>
        <w:rPr>
          <w:rFonts w:hint="eastAsia" w:ascii="仿宋_GB2312" w:eastAsia="仿宋_GB2312"/>
          <w:sz w:val="32"/>
          <w:szCs w:val="32"/>
        </w:rPr>
        <w:t>。</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（二）</w:t>
      </w:r>
      <w:r>
        <w:rPr>
          <w:rFonts w:hint="eastAsia" w:ascii="楷体_GB2312" w:hAnsi="楷体_GB2312" w:eastAsia="楷体_GB2312" w:cs="楷体_GB2312"/>
          <w:b/>
          <w:bCs/>
          <w:sz w:val="32"/>
          <w:szCs w:val="32"/>
        </w:rPr>
        <w:t>项目绩效目标</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一是贯彻习近平总书记“注重家庭、注重家教、注重家风”</w:t>
      </w:r>
      <w:r>
        <w:rPr>
          <w:rFonts w:ascii="仿宋_GB2312" w:eastAsia="仿宋_GB2312"/>
          <w:sz w:val="32"/>
          <w:szCs w:val="32"/>
        </w:rPr>
        <w:t>重要论述</w:t>
      </w:r>
      <w:r>
        <w:rPr>
          <w:rFonts w:hint="eastAsia" w:ascii="仿宋_GB2312" w:eastAsia="仿宋_GB2312"/>
          <w:sz w:val="32"/>
          <w:szCs w:val="32"/>
        </w:rPr>
        <w:t>精神</w:t>
      </w:r>
      <w:r>
        <w:rPr>
          <w:rFonts w:ascii="仿宋_GB2312" w:eastAsia="仿宋_GB2312"/>
          <w:sz w:val="32"/>
          <w:szCs w:val="32"/>
        </w:rPr>
        <w:t>，</w:t>
      </w:r>
      <w:r>
        <w:rPr>
          <w:rFonts w:hint="eastAsia" w:ascii="仿宋_GB2312" w:eastAsia="仿宋_GB2312"/>
          <w:sz w:val="32"/>
          <w:szCs w:val="32"/>
        </w:rPr>
        <w:t>在广泛开展寻找活动基础上组织开展，切实把事迹可信可学的最美家庭寻找出来、推荐上来、宣传开来，重点围绕爱党爱国、绿色低碳、科学教子、节约粮食、孝老爱亲、移风易俗、廉洁治家、促进民族团结进步等家庭典型进行寻找</w:t>
      </w:r>
      <w:r>
        <w:rPr>
          <w:rFonts w:ascii="仿宋_GB2312" w:eastAsia="仿宋_GB2312"/>
          <w:sz w:val="32"/>
          <w:szCs w:val="32"/>
        </w:rPr>
        <w:t>，</w:t>
      </w:r>
      <w:r>
        <w:rPr>
          <w:rFonts w:hint="eastAsia" w:ascii="仿宋_GB2312" w:eastAsia="仿宋_GB2312"/>
          <w:sz w:val="32"/>
          <w:szCs w:val="32"/>
        </w:rPr>
        <w:t>建立“最美家庭”常态化寻找机制</w:t>
      </w:r>
      <w:r>
        <w:rPr>
          <w:rFonts w:ascii="仿宋_GB2312" w:eastAsia="仿宋_GB2312"/>
          <w:sz w:val="32"/>
          <w:szCs w:val="32"/>
        </w:rPr>
        <w:t>并评选表彰，2021年评选表彰州级“最美家庭”20户，在社会上起到了良好的示范引领作用</w:t>
      </w:r>
      <w:r>
        <w:rPr>
          <w:rFonts w:hint="eastAsia" w:ascii="仿宋_GB2312" w:eastAsia="仿宋_GB2312"/>
          <w:sz w:val="32"/>
          <w:szCs w:val="32"/>
        </w:rPr>
        <w:t>；二是</w:t>
      </w:r>
      <w:r>
        <w:rPr>
          <w:rFonts w:ascii="仿宋_GB2312" w:eastAsia="仿宋_GB2312"/>
          <w:sz w:val="32"/>
          <w:szCs w:val="32"/>
        </w:rPr>
        <w:t>为切实维护妇女儿童合法权益，发挥汉藏双语宣讲的优势，</w:t>
      </w:r>
      <w:r>
        <w:rPr>
          <w:rFonts w:hint="eastAsia" w:ascii="仿宋_GB2312" w:eastAsia="仿宋_GB2312"/>
          <w:sz w:val="32"/>
          <w:szCs w:val="32"/>
        </w:rPr>
        <w:t>联合阿坝州</w:t>
      </w:r>
      <w:r>
        <w:rPr>
          <w:rFonts w:ascii="仿宋_GB2312" w:eastAsia="仿宋_GB2312"/>
          <w:sz w:val="32"/>
          <w:szCs w:val="32"/>
        </w:rPr>
        <w:t>人民</w:t>
      </w:r>
      <w:r>
        <w:rPr>
          <w:rFonts w:hint="eastAsia" w:ascii="仿宋_GB2312" w:eastAsia="仿宋_GB2312"/>
          <w:sz w:val="32"/>
          <w:szCs w:val="32"/>
        </w:rPr>
        <w:t>法院、州司法局、州级家长学校（阿坝州外国语实验小学）、马尔康市、阿坝县、若尔盖县、红原县、壤塘县妇联等相关单位开展“法</w:t>
      </w:r>
      <w:r>
        <w:rPr>
          <w:rFonts w:ascii="仿宋_GB2312" w:eastAsia="仿宋_GB2312"/>
          <w:sz w:val="32"/>
          <w:szCs w:val="32"/>
        </w:rPr>
        <w:t>治</w:t>
      </w:r>
      <w:r>
        <w:rPr>
          <w:rFonts w:hint="eastAsia" w:ascii="仿宋_GB2312" w:eastAsia="仿宋_GB2312"/>
          <w:sz w:val="32"/>
          <w:szCs w:val="32"/>
        </w:rPr>
        <w:t>阿坝行·平安幸福进万家”2021年“净土春晖”法</w:t>
      </w:r>
      <w:r>
        <w:rPr>
          <w:rFonts w:ascii="仿宋_GB2312" w:eastAsia="仿宋_GB2312"/>
          <w:sz w:val="32"/>
          <w:szCs w:val="32"/>
        </w:rPr>
        <w:t>治</w:t>
      </w:r>
      <w:r>
        <w:rPr>
          <w:rFonts w:hint="eastAsia" w:ascii="仿宋_GB2312" w:eastAsia="仿宋_GB2312"/>
          <w:sz w:val="32"/>
          <w:szCs w:val="32"/>
        </w:rPr>
        <w:t>宣讲—《民法典》专题讲座进乡村、进牧区、进机关、进学校、进社区、进家庭和《反家庭暴力法》</w:t>
      </w:r>
      <w:r>
        <w:rPr>
          <w:rFonts w:ascii="仿宋_GB2312" w:eastAsia="仿宋_GB2312"/>
          <w:sz w:val="32"/>
          <w:szCs w:val="32"/>
        </w:rPr>
        <w:t>出台</w:t>
      </w:r>
      <w:r>
        <w:rPr>
          <w:rFonts w:hint="eastAsia" w:ascii="仿宋_GB2312" w:eastAsia="仿宋_GB2312"/>
          <w:sz w:val="32"/>
          <w:szCs w:val="32"/>
        </w:rPr>
        <w:t>五周年暨“防艾知识”巡讲活动</w:t>
      </w:r>
      <w:r>
        <w:rPr>
          <w:rFonts w:ascii="仿宋_GB2312" w:eastAsia="仿宋_GB2312"/>
          <w:sz w:val="32"/>
          <w:szCs w:val="32"/>
        </w:rPr>
        <w:t>共</w:t>
      </w:r>
      <w:r>
        <w:rPr>
          <w:rFonts w:hint="eastAsia" w:ascii="仿宋_GB2312" w:eastAsia="仿宋_GB2312"/>
          <w:sz w:val="32"/>
          <w:szCs w:val="32"/>
        </w:rPr>
        <w:t>3</w:t>
      </w:r>
      <w:r>
        <w:rPr>
          <w:rFonts w:ascii="仿宋_GB2312" w:eastAsia="仿宋_GB2312"/>
          <w:sz w:val="32"/>
          <w:szCs w:val="32"/>
        </w:rPr>
        <w:t>9</w:t>
      </w:r>
      <w:r>
        <w:rPr>
          <w:rFonts w:hint="eastAsia" w:ascii="仿宋_GB2312" w:eastAsia="仿宋_GB2312"/>
          <w:sz w:val="32"/>
          <w:szCs w:val="32"/>
        </w:rPr>
        <w:t>场，涉及基层农牧区妇女和学生</w:t>
      </w:r>
      <w:r>
        <w:rPr>
          <w:rFonts w:ascii="仿宋_GB2312" w:eastAsia="仿宋_GB2312"/>
          <w:sz w:val="32"/>
          <w:szCs w:val="32"/>
        </w:rPr>
        <w:t>5</w:t>
      </w:r>
      <w:r>
        <w:rPr>
          <w:rFonts w:hint="eastAsia" w:ascii="仿宋_GB2312" w:eastAsia="仿宋_GB2312"/>
          <w:sz w:val="32"/>
          <w:szCs w:val="32"/>
        </w:rPr>
        <w:t>000余名。组</w:t>
      </w:r>
      <w:r>
        <w:rPr>
          <w:rFonts w:ascii="仿宋_GB2312" w:eastAsia="仿宋_GB2312"/>
          <w:sz w:val="32"/>
          <w:szCs w:val="32"/>
        </w:rPr>
        <w:t>织</w:t>
      </w:r>
      <w:r>
        <w:rPr>
          <w:rFonts w:hint="eastAsia" w:ascii="仿宋_GB2312" w:eastAsia="仿宋_GB2312"/>
          <w:sz w:val="32"/>
          <w:szCs w:val="32"/>
        </w:rPr>
        <w:t>阿坝州妇联“净土春晖”巾帼志愿宣讲队</w:t>
      </w:r>
      <w:r>
        <w:rPr>
          <w:rFonts w:ascii="仿宋_GB2312" w:eastAsia="仿宋_GB2312"/>
          <w:sz w:val="32"/>
          <w:szCs w:val="32"/>
        </w:rPr>
        <w:t>深入阿坝、若尔盖、红原、壤塘四县寄宿制小学进行“净土春晖守护花蕾”宣讲，引导广大妇女儿童提高依法维权意识和能力；</w:t>
      </w:r>
      <w:r>
        <w:rPr>
          <w:rFonts w:hint="eastAsia" w:ascii="仿宋_GB2312" w:eastAsia="仿宋_GB2312"/>
          <w:sz w:val="32"/>
          <w:szCs w:val="32"/>
        </w:rPr>
        <w:t>三是</w:t>
      </w:r>
      <w:r>
        <w:rPr>
          <w:rFonts w:ascii="仿宋_GB2312" w:eastAsia="仿宋_GB2312"/>
          <w:sz w:val="32"/>
          <w:szCs w:val="32"/>
        </w:rPr>
        <w:t>黑籽儿家教感恩回馈巡讲活动租车费3.01万元。州妇联</w:t>
      </w:r>
      <w:r>
        <w:rPr>
          <w:rFonts w:hint="eastAsia" w:ascii="仿宋_GB2312" w:eastAsia="仿宋_GB2312"/>
          <w:sz w:val="32"/>
          <w:szCs w:val="32"/>
        </w:rPr>
        <w:t>联合</w:t>
      </w:r>
      <w:r>
        <w:rPr>
          <w:rFonts w:ascii="仿宋_GB2312" w:eastAsia="仿宋_GB2312"/>
          <w:sz w:val="32"/>
          <w:szCs w:val="32"/>
        </w:rPr>
        <w:t>四川黑籽儿教育服务集团、四川心洲文化发展有限公司、东北师范大学家庭教育研究院</w:t>
      </w:r>
      <w:r>
        <w:rPr>
          <w:rFonts w:hint="eastAsia" w:ascii="仿宋_GB2312" w:eastAsia="仿宋_GB2312"/>
          <w:sz w:val="32"/>
          <w:szCs w:val="32"/>
        </w:rPr>
        <w:t>举办了为期6天的</w:t>
      </w:r>
      <w:r>
        <w:rPr>
          <w:rFonts w:ascii="仿宋_GB2312" w:eastAsia="仿宋_GB2312"/>
          <w:sz w:val="32"/>
          <w:szCs w:val="32"/>
        </w:rPr>
        <w:t>2021年阿坝州妇联“家庭心向党，奋斗新征程”--黑籽儿科学家教感恩回馈巡讲活动</w:t>
      </w:r>
      <w:r>
        <w:rPr>
          <w:rFonts w:hint="eastAsia" w:ascii="仿宋_GB2312" w:eastAsia="仿宋_GB2312"/>
          <w:sz w:val="32"/>
          <w:szCs w:val="32"/>
        </w:rPr>
        <w:t>，开展家庭教育专题讲座18场，实现全州十三县（市）、景区管理局、州直机关全覆盖。全州幼儿园、小学、中学5280余名家长代表聆听了讲座。巡讲做到了送教上门、送课上门，使家庭教育服务更加优质高效，活动更接地气，更受基层妇联组织、各级学校和广大家长朋友的欢迎</w:t>
      </w:r>
      <w:r>
        <w:rPr>
          <w:rFonts w:ascii="仿宋_GB2312" w:eastAsia="仿宋_GB2312"/>
          <w:sz w:val="32"/>
          <w:szCs w:val="32"/>
        </w:rPr>
        <w:t>；四是妇女儿童相关工作调研、出差费4.4611万元，此项经费包括未成年人保护调研、反家暴调研、家风家教调研、拉姆案调研和慰问等相关工作开展差旅费等经费开支。</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w:t>
      </w:r>
      <w:r>
        <w:rPr>
          <w:rFonts w:ascii="仿宋_GB2312" w:eastAsia="仿宋_GB2312"/>
          <w:sz w:val="32"/>
          <w:szCs w:val="32"/>
        </w:rPr>
        <w:t>2021年州级“最美家庭”奖牌证书制作费共计1.035万元</w:t>
      </w:r>
      <w:r>
        <w:rPr>
          <w:rFonts w:hint="eastAsia" w:ascii="仿宋_GB2312" w:eastAsia="仿宋_GB2312"/>
          <w:sz w:val="32"/>
          <w:szCs w:val="32"/>
        </w:rPr>
        <w:t>；二是“净土春晖”</w:t>
      </w:r>
      <w:r>
        <w:rPr>
          <w:rFonts w:ascii="仿宋_GB2312" w:eastAsia="仿宋_GB2312"/>
          <w:sz w:val="32"/>
          <w:szCs w:val="32"/>
        </w:rPr>
        <w:t>巡讲活动食宿费2.4939万元</w:t>
      </w:r>
      <w:r>
        <w:rPr>
          <w:rFonts w:hint="eastAsia" w:ascii="仿宋_GB2312" w:eastAsia="仿宋_GB2312"/>
          <w:sz w:val="32"/>
          <w:szCs w:val="32"/>
        </w:rPr>
        <w:t>；三是</w:t>
      </w:r>
      <w:r>
        <w:rPr>
          <w:rFonts w:ascii="仿宋_GB2312" w:eastAsia="仿宋_GB2312"/>
          <w:sz w:val="32"/>
          <w:szCs w:val="32"/>
        </w:rPr>
        <w:t>黑籽儿家教感恩回馈巡讲活动租车费3.01万元；四是妇女儿童相关工作调研、差旅费4.4611万元</w:t>
      </w:r>
      <w:r>
        <w:rPr>
          <w:rFonts w:hint="eastAsia" w:ascii="仿宋_GB2312" w:eastAsia="仿宋_GB2312"/>
          <w:sz w:val="32"/>
          <w:szCs w:val="32"/>
        </w:rPr>
        <w:t>。</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w:t>
      </w:r>
      <w:r>
        <w:rPr>
          <w:rFonts w:ascii="楷体_GB2312" w:hAnsi="楷体_GB2312" w:eastAsia="楷体_GB2312" w:cs="楷体_GB2312"/>
          <w:b/>
          <w:bCs/>
          <w:sz w:val="32"/>
          <w:szCs w:val="32"/>
        </w:rPr>
        <w:t>项目资金申报相符性</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1</w:t>
      </w:r>
      <w:r>
        <w:rPr>
          <w:rFonts w:hint="eastAsia" w:ascii="仿宋_GB2312" w:eastAsia="仿宋_GB2312"/>
          <w:sz w:val="32"/>
          <w:szCs w:val="32"/>
        </w:rPr>
        <w:t>年妇女儿童专项经费1</w:t>
      </w:r>
      <w:r>
        <w:rPr>
          <w:rFonts w:ascii="仿宋_GB2312" w:eastAsia="仿宋_GB2312"/>
          <w:sz w:val="32"/>
          <w:szCs w:val="32"/>
        </w:rPr>
        <w:t>1</w:t>
      </w:r>
      <w:r>
        <w:rPr>
          <w:rFonts w:hint="eastAsia" w:ascii="仿宋_GB2312" w:eastAsia="仿宋_GB2312"/>
          <w:sz w:val="32"/>
          <w:szCs w:val="32"/>
        </w:rPr>
        <w:t>万</w:t>
      </w:r>
      <w:r>
        <w:rPr>
          <w:rFonts w:ascii="仿宋_GB2312" w:eastAsia="仿宋_GB2312"/>
          <w:sz w:val="32"/>
          <w:szCs w:val="32"/>
        </w:rPr>
        <w:t>元</w:t>
      </w:r>
      <w:r>
        <w:rPr>
          <w:rFonts w:hint="eastAsia" w:ascii="仿宋_GB2312" w:eastAsia="仿宋_GB2312"/>
          <w:sz w:val="32"/>
          <w:szCs w:val="32"/>
        </w:rPr>
        <w:t>，全部用于</w:t>
      </w:r>
      <w:r>
        <w:rPr>
          <w:rFonts w:ascii="仿宋_GB2312" w:eastAsia="仿宋_GB2312"/>
          <w:sz w:val="32"/>
          <w:szCs w:val="32"/>
        </w:rPr>
        <w:t>“最美家庭”奖牌制作、</w:t>
      </w:r>
      <w:r>
        <w:rPr>
          <w:rFonts w:hint="eastAsia" w:ascii="仿宋_GB2312" w:eastAsia="仿宋_GB2312"/>
          <w:sz w:val="32"/>
          <w:szCs w:val="32"/>
        </w:rPr>
        <w:t>“净土春晖”</w:t>
      </w:r>
      <w:r>
        <w:rPr>
          <w:rFonts w:ascii="仿宋_GB2312" w:eastAsia="仿宋_GB2312"/>
          <w:sz w:val="32"/>
          <w:szCs w:val="32"/>
        </w:rPr>
        <w:t>巡讲活动、家教感恩回馈巡讲、妇女儿童相关工作调研差旅费</w:t>
      </w:r>
      <w:r>
        <w:rPr>
          <w:rFonts w:hint="eastAsia" w:ascii="仿宋_GB2312" w:eastAsia="仿宋_GB2312"/>
          <w:sz w:val="32"/>
          <w:szCs w:val="32"/>
        </w:rPr>
        <w:t>等各项工作</w:t>
      </w:r>
      <w:r>
        <w:rPr>
          <w:rFonts w:ascii="仿宋_GB2312" w:eastAsia="仿宋_GB2312"/>
          <w:sz w:val="32"/>
          <w:szCs w:val="32"/>
        </w:rPr>
        <w:t>，项目申报内容与具体实施内容相符，申报目标合理可行。</w:t>
      </w:r>
    </w:p>
    <w:p>
      <w:pPr>
        <w:snapToGrid w:val="0"/>
        <w:spacing w:line="576"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二、</w:t>
      </w:r>
      <w:r>
        <w:rPr>
          <w:rFonts w:ascii="黑体" w:hAnsi="黑体" w:eastAsia="黑体"/>
          <w:color w:val="000000" w:themeColor="text1"/>
          <w:sz w:val="32"/>
          <w:szCs w:val="32"/>
        </w:rPr>
        <w:t>项目实施及管理</w:t>
      </w:r>
      <w:r>
        <w:rPr>
          <w:rFonts w:hint="eastAsia" w:ascii="黑体" w:hAnsi="黑体" w:eastAsia="黑体"/>
          <w:color w:val="000000" w:themeColor="text1"/>
          <w:sz w:val="32"/>
          <w:szCs w:val="32"/>
        </w:rPr>
        <w:t>情况</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资金计划、到位及使用情况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w:t>
      </w:r>
      <w:r>
        <w:rPr>
          <w:rFonts w:ascii="仿宋_GB2312" w:eastAsia="仿宋_GB2312"/>
          <w:sz w:val="32"/>
          <w:szCs w:val="32"/>
        </w:rPr>
        <w:t>2021年州级“最美家庭”奖牌证书制作费共计1.035万元</w:t>
      </w:r>
      <w:r>
        <w:rPr>
          <w:rFonts w:hint="eastAsia" w:ascii="仿宋_GB2312" w:eastAsia="仿宋_GB2312"/>
          <w:sz w:val="32"/>
          <w:szCs w:val="32"/>
        </w:rPr>
        <w:t>；二是“净土春晖”</w:t>
      </w:r>
      <w:r>
        <w:rPr>
          <w:rFonts w:ascii="仿宋_GB2312" w:eastAsia="仿宋_GB2312"/>
          <w:sz w:val="32"/>
          <w:szCs w:val="32"/>
        </w:rPr>
        <w:t>巡讲活动食宿费2.4939万元</w:t>
      </w:r>
      <w:r>
        <w:rPr>
          <w:rFonts w:hint="eastAsia" w:ascii="仿宋_GB2312" w:eastAsia="仿宋_GB2312"/>
          <w:sz w:val="32"/>
          <w:szCs w:val="32"/>
        </w:rPr>
        <w:t>；三是</w:t>
      </w:r>
      <w:r>
        <w:rPr>
          <w:rFonts w:ascii="仿宋_GB2312" w:eastAsia="仿宋_GB2312"/>
          <w:sz w:val="32"/>
          <w:szCs w:val="32"/>
        </w:rPr>
        <w:t>黑籽儿家教感恩回馈巡讲活动租车费3.01万元；四是妇女儿童相关工作调研、差旅费4.4611万元</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以上资金计划、到位及使用情况均相符，资金到位率达100%，资金支付与预算相符，资金到位及时。</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(二)项目财务管理情况</w:t>
      </w:r>
    </w:p>
    <w:p>
      <w:pPr>
        <w:spacing w:line="576" w:lineRule="exact"/>
        <w:ind w:firstLine="640" w:firstLineChars="200"/>
        <w:rPr>
          <w:rFonts w:ascii="仿宋_GB2312" w:eastAsia="仿宋_GB2312"/>
          <w:sz w:val="32"/>
          <w:szCs w:val="32"/>
        </w:rPr>
      </w:pPr>
      <w:r>
        <w:rPr>
          <w:rFonts w:ascii="仿宋_GB2312" w:eastAsia="仿宋_GB2312"/>
          <w:sz w:val="32"/>
          <w:szCs w:val="32"/>
        </w:rPr>
        <w:t>严格执行财务管理制度，财务处理及时，会计核算规范。</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(三)项目组织实施情况</w:t>
      </w:r>
    </w:p>
    <w:p>
      <w:pPr>
        <w:snapToGrid w:val="0"/>
        <w:spacing w:line="576" w:lineRule="exact"/>
        <w:ind w:firstLine="640" w:firstLineChars="200"/>
        <w:rPr>
          <w:rFonts w:ascii="楷体_GB2312" w:hAnsi="宋体" w:eastAsia="楷体_GB2312"/>
          <w:b/>
          <w:szCs w:val="21"/>
        </w:rPr>
      </w:pPr>
      <w:r>
        <w:rPr>
          <w:rFonts w:hint="eastAsia" w:ascii="仿宋_GB2312" w:eastAsia="仿宋_GB2312"/>
          <w:sz w:val="32"/>
          <w:szCs w:val="32"/>
        </w:rPr>
        <w:t>严格按照资金管理办法和“三重一大”相关规定，按相关要求，每</w:t>
      </w:r>
      <w:r>
        <w:rPr>
          <w:rFonts w:ascii="仿宋_GB2312" w:eastAsia="仿宋_GB2312"/>
          <w:sz w:val="32"/>
          <w:szCs w:val="32"/>
        </w:rPr>
        <w:t>个</w:t>
      </w:r>
      <w:r>
        <w:rPr>
          <w:rFonts w:hint="eastAsia" w:ascii="仿宋_GB2312" w:eastAsia="仿宋_GB2312"/>
          <w:sz w:val="32"/>
          <w:szCs w:val="32"/>
        </w:rPr>
        <w:t>环节均集体决策，项目实施过程严格按照财经纪律，支付相关经费，做到了账目清晰、业内资料齐备、走账规范。</w:t>
      </w:r>
    </w:p>
    <w:p>
      <w:pPr>
        <w:snapToGrid w:val="0"/>
        <w:spacing w:line="576"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三、</w:t>
      </w:r>
      <w:r>
        <w:rPr>
          <w:rFonts w:ascii="黑体" w:hAnsi="黑体" w:eastAsia="黑体"/>
          <w:color w:val="000000" w:themeColor="text1"/>
          <w:sz w:val="32"/>
          <w:szCs w:val="32"/>
        </w:rPr>
        <w:t>项目</w:t>
      </w:r>
      <w:r>
        <w:rPr>
          <w:rFonts w:hint="eastAsia" w:ascii="黑体" w:hAnsi="黑体" w:eastAsia="黑体"/>
          <w:color w:val="000000" w:themeColor="text1"/>
          <w:sz w:val="32"/>
          <w:szCs w:val="32"/>
        </w:rPr>
        <w:t>绩效</w:t>
      </w:r>
      <w:r>
        <w:rPr>
          <w:rFonts w:ascii="黑体" w:hAnsi="黑体" w:eastAsia="黑体"/>
          <w:color w:val="000000" w:themeColor="text1"/>
          <w:sz w:val="32"/>
          <w:szCs w:val="32"/>
        </w:rPr>
        <w:t>情况</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w:t>
      </w:r>
      <w:r>
        <w:rPr>
          <w:rFonts w:ascii="楷体_GB2312" w:hAnsi="楷体_GB2312" w:eastAsia="楷体_GB2312" w:cs="楷体_GB2312"/>
          <w:b/>
          <w:bCs/>
          <w:sz w:val="32"/>
          <w:szCs w:val="32"/>
        </w:rPr>
        <w:t>完成</w:t>
      </w:r>
      <w:r>
        <w:rPr>
          <w:rFonts w:hint="eastAsia" w:ascii="楷体_GB2312" w:hAnsi="楷体_GB2312" w:eastAsia="楷体_GB2312" w:cs="楷体_GB2312"/>
          <w:b/>
          <w:bCs/>
          <w:sz w:val="32"/>
          <w:szCs w:val="32"/>
        </w:rPr>
        <w:t>情况</w:t>
      </w:r>
    </w:p>
    <w:p>
      <w:pPr>
        <w:spacing w:line="576" w:lineRule="exact"/>
        <w:ind w:firstLine="640" w:firstLineChars="200"/>
        <w:rPr>
          <w:rFonts w:ascii="仿宋_GB2312" w:eastAsia="仿宋_GB2312"/>
          <w:sz w:val="32"/>
          <w:szCs w:val="32"/>
        </w:rPr>
      </w:pPr>
      <w:r>
        <w:rPr>
          <w:rFonts w:ascii="仿宋_GB2312" w:eastAsia="仿宋_GB2312"/>
          <w:sz w:val="32"/>
          <w:szCs w:val="32"/>
        </w:rPr>
        <w:t>一是2021年评选表彰州级“最美家庭”20户，在社会上起</w:t>
      </w:r>
      <w:r>
        <w:rPr>
          <w:rFonts w:ascii="仿宋_GB2312" w:hAnsi="仿宋_GB2312" w:cs="仿宋_GB2312"/>
          <w:color w:val="000000" w:themeColor="text1"/>
          <w:sz w:val="32"/>
          <w:szCs w:val="32"/>
        </w:rPr>
        <w:t>到了良好的示范引领作用</w:t>
      </w:r>
      <w:r>
        <w:rPr>
          <w:rFonts w:hint="eastAsia" w:ascii="仿宋_GB2312" w:eastAsia="仿宋_GB2312"/>
          <w:sz w:val="32"/>
          <w:szCs w:val="32"/>
        </w:rPr>
        <w:t>；二是开展“法</w:t>
      </w:r>
      <w:r>
        <w:rPr>
          <w:rFonts w:ascii="仿宋_GB2312" w:eastAsia="仿宋_GB2312"/>
          <w:sz w:val="32"/>
          <w:szCs w:val="32"/>
        </w:rPr>
        <w:t>治</w:t>
      </w:r>
      <w:r>
        <w:rPr>
          <w:rFonts w:hint="eastAsia" w:ascii="仿宋_GB2312" w:eastAsia="仿宋_GB2312"/>
          <w:sz w:val="32"/>
          <w:szCs w:val="32"/>
        </w:rPr>
        <w:t>阿坝行·平安幸福进万家”2021年“净土春晖”法</w:t>
      </w:r>
      <w:r>
        <w:rPr>
          <w:rFonts w:ascii="仿宋_GB2312" w:eastAsia="仿宋_GB2312"/>
          <w:sz w:val="32"/>
          <w:szCs w:val="32"/>
        </w:rPr>
        <w:t>治</w:t>
      </w:r>
      <w:r>
        <w:rPr>
          <w:rFonts w:hint="eastAsia" w:ascii="仿宋_GB2312" w:eastAsia="仿宋_GB2312"/>
          <w:sz w:val="32"/>
          <w:szCs w:val="32"/>
        </w:rPr>
        <w:t>宣讲—《民法典》专题讲座进乡村、进牧区、进机关、进学</w:t>
      </w:r>
      <w:r>
        <w:rPr>
          <w:rFonts w:hint="eastAsia" w:ascii="仿宋_GB2312" w:eastAsia="仿宋_GB2312" w:cs="仿宋_GB2312"/>
          <w:sz w:val="32"/>
          <w:szCs w:val="32"/>
        </w:rPr>
        <w:t>校、进社区、进家庭和《反家庭暴力法》</w:t>
      </w:r>
      <w:r>
        <w:rPr>
          <w:rFonts w:ascii="仿宋_GB2312" w:cs="仿宋_GB2312"/>
          <w:sz w:val="32"/>
          <w:szCs w:val="32"/>
        </w:rPr>
        <w:t>出台</w:t>
      </w:r>
      <w:r>
        <w:rPr>
          <w:rFonts w:hint="eastAsia" w:ascii="仿宋_GB2312" w:eastAsia="仿宋_GB2312" w:cs="仿宋_GB2312"/>
          <w:sz w:val="32"/>
          <w:szCs w:val="32"/>
        </w:rPr>
        <w:t>五周年暨“防艾知识”巡讲活动</w:t>
      </w:r>
      <w:r>
        <w:rPr>
          <w:rFonts w:ascii="仿宋_GB2312" w:cs="仿宋_GB2312"/>
          <w:sz w:val="32"/>
          <w:szCs w:val="32"/>
        </w:rPr>
        <w:t>共</w:t>
      </w:r>
      <w:r>
        <w:rPr>
          <w:rFonts w:hint="eastAsia" w:ascii="仿宋_GB2312" w:eastAsia="仿宋_GB2312"/>
          <w:sz w:val="32"/>
          <w:szCs w:val="32"/>
        </w:rPr>
        <w:t>3</w:t>
      </w:r>
      <w:r>
        <w:rPr>
          <w:rFonts w:ascii="仿宋_GB2312" w:eastAsia="仿宋_GB2312"/>
          <w:sz w:val="32"/>
          <w:szCs w:val="32"/>
        </w:rPr>
        <w:t>9</w:t>
      </w:r>
      <w:r>
        <w:rPr>
          <w:rFonts w:hint="eastAsia" w:ascii="仿宋_GB2312" w:eastAsia="仿宋_GB2312"/>
          <w:sz w:val="32"/>
          <w:szCs w:val="32"/>
        </w:rPr>
        <w:t>场，涉及基层农牧区妇女和学生</w:t>
      </w:r>
      <w:r>
        <w:rPr>
          <w:rFonts w:ascii="仿宋_GB2312" w:eastAsia="仿宋_GB2312"/>
          <w:sz w:val="32"/>
          <w:szCs w:val="32"/>
        </w:rPr>
        <w:t>5</w:t>
      </w:r>
      <w:r>
        <w:rPr>
          <w:rFonts w:hint="eastAsia" w:ascii="仿宋_GB2312" w:eastAsia="仿宋_GB2312"/>
          <w:sz w:val="32"/>
          <w:szCs w:val="32"/>
        </w:rPr>
        <w:t>000余名</w:t>
      </w:r>
      <w:r>
        <w:rPr>
          <w:rFonts w:ascii="仿宋_GB2312" w:eastAsia="仿宋_GB2312"/>
          <w:sz w:val="32"/>
          <w:szCs w:val="32"/>
        </w:rPr>
        <w:t>；</w:t>
      </w:r>
      <w:r>
        <w:rPr>
          <w:rFonts w:hint="eastAsia" w:ascii="仿宋_GB2312" w:eastAsia="仿宋_GB2312"/>
          <w:sz w:val="32"/>
          <w:szCs w:val="32"/>
        </w:rPr>
        <w:t>三是</w:t>
      </w:r>
      <w:r>
        <w:rPr>
          <w:rFonts w:ascii="仿宋_GB2312" w:eastAsia="仿宋_GB2312"/>
          <w:sz w:val="32"/>
          <w:szCs w:val="32"/>
        </w:rPr>
        <w:t>黑籽儿家教感恩回馈巡讲活动租车费3.01万元。州妇联</w:t>
      </w:r>
      <w:r>
        <w:rPr>
          <w:rFonts w:hint="eastAsia" w:ascii="仿宋_GB2312" w:eastAsia="仿宋_GB2312"/>
          <w:sz w:val="32"/>
          <w:szCs w:val="32"/>
        </w:rPr>
        <w:t>联合</w:t>
      </w:r>
      <w:r>
        <w:rPr>
          <w:rFonts w:ascii="仿宋_GB2312" w:eastAsia="仿宋_GB2312"/>
          <w:sz w:val="32"/>
          <w:szCs w:val="32"/>
        </w:rPr>
        <w:t>四川黑籽儿教育服务集团、四川心洲文化发展有限公司、东北师范大学家庭教育研究院</w:t>
      </w:r>
      <w:r>
        <w:rPr>
          <w:rFonts w:hint="eastAsia" w:ascii="仿宋_GB2312" w:eastAsia="仿宋_GB2312"/>
          <w:sz w:val="32"/>
          <w:szCs w:val="32"/>
        </w:rPr>
        <w:t>举办了为期6天的</w:t>
      </w:r>
      <w:r>
        <w:rPr>
          <w:rFonts w:ascii="仿宋_GB2312" w:eastAsia="仿宋_GB2312"/>
          <w:sz w:val="32"/>
          <w:szCs w:val="32"/>
        </w:rPr>
        <w:t>2021年阿坝州妇联“家庭心向党，奋斗新征程”--黑籽儿科学家教感恩回馈巡讲活动</w:t>
      </w:r>
      <w:r>
        <w:rPr>
          <w:rFonts w:hint="eastAsia" w:ascii="仿宋_GB2312" w:eastAsia="仿宋_GB2312"/>
          <w:sz w:val="32"/>
          <w:szCs w:val="32"/>
        </w:rPr>
        <w:t>，开展家庭教育专题讲座18场，实现全州十三县（市）、景区管理局、州直机关全覆盖。全州幼儿园、小学、中学5280余名家长代表聆听了讲座</w:t>
      </w:r>
      <w:r>
        <w:rPr>
          <w:rFonts w:ascii="仿宋_GB2312" w:eastAsia="仿宋_GB2312"/>
          <w:sz w:val="32"/>
          <w:szCs w:val="32"/>
        </w:rPr>
        <w:t>；四是妇女儿童相关工作调研、出差费4.4611万元，此项经费包括未成年人保护调研、反家暴调研、家风家教调研、拉姆案调研和慰问等相关工作开展差旅费等经费开支。</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（二）</w:t>
      </w:r>
      <w:r>
        <w:rPr>
          <w:rFonts w:hint="eastAsia" w:ascii="楷体_GB2312" w:hAnsi="楷体_GB2312" w:eastAsia="楷体_GB2312" w:cs="楷体_GB2312"/>
          <w:b/>
          <w:bCs/>
          <w:sz w:val="32"/>
          <w:szCs w:val="32"/>
        </w:rPr>
        <w:t>项目效益情况</w:t>
      </w:r>
    </w:p>
    <w:p>
      <w:pPr>
        <w:pStyle w:val="5"/>
        <w:spacing w:before="93" w:line="576" w:lineRule="exact"/>
        <w:ind w:firstLine="640" w:firstLineChars="200"/>
        <w:rPr>
          <w:kern w:val="2"/>
          <w:sz w:val="32"/>
          <w:szCs w:val="32"/>
        </w:rPr>
      </w:pPr>
      <w:r>
        <w:rPr>
          <w:kern w:val="2"/>
          <w:sz w:val="32"/>
          <w:szCs w:val="32"/>
        </w:rPr>
        <w:t>妇女儿童专项工作经费中的2021年州级“最美家庭”评选</w:t>
      </w:r>
      <w:r>
        <w:rPr>
          <w:rFonts w:hint="eastAsia"/>
          <w:kern w:val="2"/>
          <w:sz w:val="32"/>
          <w:szCs w:val="32"/>
        </w:rPr>
        <w:t>、“净土春晖”</w:t>
      </w:r>
      <w:r>
        <w:rPr>
          <w:kern w:val="2"/>
          <w:sz w:val="32"/>
          <w:szCs w:val="32"/>
        </w:rPr>
        <w:t>巡讲活动、黑籽儿家教感恩回馈巡讲活动</w:t>
      </w:r>
      <w:r>
        <w:rPr>
          <w:rFonts w:hint="eastAsia"/>
          <w:kern w:val="2"/>
          <w:sz w:val="32"/>
          <w:szCs w:val="32"/>
        </w:rPr>
        <w:t>、</w:t>
      </w:r>
      <w:r>
        <w:rPr>
          <w:kern w:val="2"/>
          <w:sz w:val="32"/>
          <w:szCs w:val="32"/>
        </w:rPr>
        <w:t>妇女儿童相关工作调研对传承良好家风、弘扬社会主义核心价值观、维护社会稳定起到了积极的作用，有较好的社会效益。</w:t>
      </w:r>
    </w:p>
    <w:p>
      <w:pPr>
        <w:snapToGrid w:val="0"/>
        <w:spacing w:line="576"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四、问题</w:t>
      </w:r>
      <w:r>
        <w:rPr>
          <w:rFonts w:ascii="黑体" w:hAnsi="黑体" w:eastAsia="黑体"/>
          <w:color w:val="000000" w:themeColor="text1"/>
          <w:sz w:val="32"/>
          <w:szCs w:val="32"/>
        </w:rPr>
        <w:t>及效益</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ascii="楷体_GB2312" w:hAnsi="楷体_GB2312" w:eastAsia="楷体_GB2312" w:cs="楷体_GB2312"/>
          <w:b/>
          <w:bCs/>
          <w:sz w:val="32"/>
          <w:szCs w:val="32"/>
        </w:rPr>
        <w:t>存在的问题</w:t>
      </w:r>
    </w:p>
    <w:p>
      <w:pPr>
        <w:pStyle w:val="5"/>
        <w:spacing w:before="93" w:line="576" w:lineRule="exact"/>
        <w:ind w:firstLine="640" w:firstLineChars="200"/>
        <w:rPr>
          <w:kern w:val="2"/>
          <w:sz w:val="32"/>
          <w:szCs w:val="32"/>
        </w:rPr>
      </w:pPr>
      <w:r>
        <w:rPr>
          <w:rFonts w:hint="eastAsia"/>
          <w:kern w:val="2"/>
          <w:sz w:val="32"/>
          <w:szCs w:val="32"/>
        </w:rPr>
        <w:t>基层家庭教育经费投入不足。基层家庭教育工作经费缺乏，是全州基层家庭教育普遍存在和急需解决的问题</w:t>
      </w:r>
      <w:r>
        <w:rPr>
          <w:kern w:val="2"/>
          <w:sz w:val="32"/>
          <w:szCs w:val="32"/>
        </w:rPr>
        <w:t>。</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ascii="楷体_GB2312" w:hAnsi="楷体_GB2312" w:eastAsia="楷体_GB2312" w:cs="楷体_GB2312"/>
          <w:b/>
          <w:bCs/>
          <w:sz w:val="32"/>
          <w:szCs w:val="32"/>
        </w:rPr>
        <w:t>（二）相关建议</w:t>
      </w:r>
    </w:p>
    <w:p>
      <w:pPr>
        <w:pStyle w:val="5"/>
        <w:spacing w:before="93" w:line="576" w:lineRule="exact"/>
        <w:ind w:firstLine="640" w:firstLineChars="200"/>
        <w:rPr>
          <w:kern w:val="2"/>
          <w:sz w:val="32"/>
          <w:szCs w:val="32"/>
        </w:rPr>
      </w:pPr>
      <w:r>
        <w:rPr>
          <w:rFonts w:hint="eastAsia"/>
          <w:kern w:val="2"/>
          <w:sz w:val="32"/>
          <w:szCs w:val="32"/>
        </w:rPr>
        <w:t>进一步加大经费投入力度。积极争取将家庭教育工作经费纳入财政预算，扎实深入地开展县（市）、乡（镇）、村（社区)家庭教育工作，以点带面，提高家长素质和科学教子的能力。</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51"/>
        <w:gridCol w:w="992"/>
        <w:gridCol w:w="851"/>
        <w:gridCol w:w="283"/>
        <w:gridCol w:w="1560"/>
        <w:gridCol w:w="1417"/>
        <w:gridCol w:w="288"/>
        <w:gridCol w:w="2469"/>
      </w:tblGrid>
      <w:tr>
        <w:tblPrEx>
          <w:tblCellMar>
            <w:top w:w="0" w:type="dxa"/>
            <w:left w:w="108" w:type="dxa"/>
            <w:bottom w:w="0" w:type="dxa"/>
            <w:right w:w="108" w:type="dxa"/>
          </w:tblCellMar>
        </w:tblPrEx>
        <w:trPr>
          <w:trHeight w:val="675" w:hRule="atLeast"/>
        </w:trPr>
        <w:tc>
          <w:tcPr>
            <w:tcW w:w="9811" w:type="dxa"/>
            <w:gridSpan w:val="8"/>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sz w:val="44"/>
                <w:szCs w:val="44"/>
              </w:rPr>
            </w:pPr>
            <w:r>
              <w:rPr>
                <w:rFonts w:hint="eastAsia" w:ascii="方正小标宋简体" w:hAnsi="宋体" w:eastAsia="方正小标宋简体"/>
                <w:sz w:val="44"/>
                <w:szCs w:val="44"/>
              </w:rPr>
              <w:t>2021年部门预算项目绩效目标自评</w:t>
            </w:r>
          </w:p>
          <w:p>
            <w:pPr>
              <w:snapToGrid w:val="0"/>
              <w:spacing w:line="576" w:lineRule="exact"/>
              <w:ind w:firstLine="642" w:firstLineChars="200"/>
              <w:jc w:val="center"/>
              <w:rPr>
                <w:rFonts w:ascii="楷体_GB2312" w:hAnsi="华文仿宋" w:eastAsia="楷体_GB2312" w:cs="华文仿宋"/>
                <w:b/>
                <w:bCs/>
                <w:sz w:val="32"/>
                <w:szCs w:val="32"/>
              </w:rPr>
            </w:pPr>
            <w:r>
              <w:rPr>
                <w:rFonts w:hint="eastAsia" w:ascii="楷体_GB2312" w:hAnsi="华文仿宋" w:eastAsia="楷体_GB2312" w:cs="华文仿宋"/>
                <w:b/>
                <w:bCs/>
                <w:sz w:val="32"/>
                <w:szCs w:val="32"/>
              </w:rPr>
              <w:t>（妇女儿童专项经费）</w:t>
            </w:r>
          </w:p>
        </w:tc>
      </w:tr>
      <w:tr>
        <w:tblPrEx>
          <w:tblCellMar>
            <w:top w:w="0" w:type="dxa"/>
            <w:left w:w="108" w:type="dxa"/>
            <w:bottom w:w="0" w:type="dxa"/>
            <w:right w:w="108" w:type="dxa"/>
          </w:tblCellMar>
        </w:tblPrEx>
        <w:trPr>
          <w:trHeight w:val="254" w:hRule="atLeast"/>
        </w:trPr>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36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仿宋_GB2312" w:eastAsia="仿宋_GB2312" w:cs="宋体"/>
                <w:sz w:val="28"/>
                <w:szCs w:val="28"/>
              </w:rPr>
              <w:t>118101</w:t>
            </w:r>
          </w:p>
        </w:tc>
        <w:tc>
          <w:tcPr>
            <w:tcW w:w="17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州妇联</w:t>
            </w:r>
          </w:p>
        </w:tc>
      </w:tr>
      <w:tr>
        <w:tblPrEx>
          <w:tblCellMar>
            <w:top w:w="0" w:type="dxa"/>
            <w:left w:w="108" w:type="dxa"/>
            <w:bottom w:w="0" w:type="dxa"/>
            <w:right w:w="108" w:type="dxa"/>
          </w:tblCellMar>
        </w:tblPrEx>
        <w:trPr>
          <w:trHeight w:val="341" w:hRule="atLeast"/>
        </w:trPr>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11</w:t>
            </w:r>
          </w:p>
        </w:tc>
        <w:tc>
          <w:tcPr>
            <w:tcW w:w="17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right="420"/>
              <w:jc w:val="center"/>
              <w:textAlignment w:val="center"/>
              <w:rPr>
                <w:rFonts w:ascii="宋体" w:cs="宋体"/>
                <w:sz w:val="24"/>
              </w:rPr>
            </w:pPr>
            <w:r>
              <w:rPr>
                <w:rFonts w:ascii="仿宋_GB2312" w:hAnsi="仿宋_GB2312" w:cs="仿宋_GB2312"/>
                <w:color w:val="000000"/>
                <w:szCs w:val="21"/>
              </w:rPr>
              <w:t>11</w:t>
            </w:r>
          </w:p>
        </w:tc>
      </w:tr>
      <w:tr>
        <w:tblPrEx>
          <w:tblCellMar>
            <w:top w:w="0" w:type="dxa"/>
            <w:left w:w="108" w:type="dxa"/>
            <w:bottom w:w="0" w:type="dxa"/>
            <w:right w:w="108" w:type="dxa"/>
          </w:tblCellMar>
        </w:tblPrEx>
        <w:trPr>
          <w:trHeight w:val="555" w:hRule="atLeast"/>
        </w:trPr>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其中：财政拨款</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11</w:t>
            </w:r>
          </w:p>
        </w:tc>
        <w:tc>
          <w:tcPr>
            <w:tcW w:w="17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其中：财政拨款</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仿宋_GB2312" w:hAnsi="仿宋_GB2312" w:cs="仿宋_GB2312"/>
                <w:color w:val="000000"/>
                <w:szCs w:val="21"/>
              </w:rPr>
              <w:t>11</w:t>
            </w:r>
          </w:p>
        </w:tc>
      </w:tr>
      <w:tr>
        <w:tblPrEx>
          <w:tblCellMar>
            <w:top w:w="0" w:type="dxa"/>
            <w:left w:w="108" w:type="dxa"/>
            <w:bottom w:w="0" w:type="dxa"/>
            <w:right w:w="108" w:type="dxa"/>
          </w:tblCellMar>
        </w:tblPrEx>
        <w:trPr>
          <w:trHeight w:val="341" w:hRule="atLeast"/>
        </w:trPr>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c>
          <w:tcPr>
            <w:tcW w:w="17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trHeight w:val="217" w:hRule="atLeast"/>
        </w:trPr>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kern w:val="0"/>
                <w:sz w:val="24"/>
              </w:rPr>
            </w:pPr>
            <w:r>
              <w:rPr>
                <w:rFonts w:hint="eastAsia" w:ascii="宋体" w:cs="宋体"/>
                <w:kern w:val="0"/>
                <w:sz w:val="24"/>
              </w:rPr>
              <w:t>完成情况</w:t>
            </w:r>
          </w:p>
        </w:tc>
        <w:tc>
          <w:tcPr>
            <w:tcW w:w="36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417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trHeight w:val="2164" w:hRule="atLeast"/>
        </w:trPr>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36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rPr>
              <w:t>妇女儿童专项经费11万元用于2021年州级“最美家庭”奖牌证书制作费、“净土春晖”巡讲活动食宿费、黑籽儿家教感恩回馈巡讲活动租车费、妇女儿童相关工作调研差旅费等各项工作支出。</w:t>
            </w:r>
          </w:p>
          <w:p>
            <w:pPr>
              <w:jc w:val="center"/>
            </w:pPr>
          </w:p>
        </w:tc>
        <w:tc>
          <w:tcPr>
            <w:tcW w:w="417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rPr>
              <w:t>妇女儿童专项经费11万元用于2021年州级“最美家庭”奖牌证书制作费、“净土春晖”巡讲活动食宿费、黑籽儿家教感恩回馈巡讲活动租车费、妇女儿童相关工作调研差旅费等各项工作支出。</w:t>
            </w:r>
          </w:p>
          <w:p>
            <w:pPr>
              <w:widowControl/>
              <w:spacing w:line="320" w:lineRule="exact"/>
              <w:jc w:val="center"/>
              <w:textAlignment w:val="top"/>
              <w:rPr>
                <w:rFonts w:ascii="宋体" w:cs="宋体"/>
                <w:sz w:val="24"/>
              </w:rPr>
            </w:pPr>
          </w:p>
        </w:tc>
      </w:tr>
      <w:tr>
        <w:tblPrEx>
          <w:tblCellMar>
            <w:top w:w="0" w:type="dxa"/>
            <w:left w:w="108" w:type="dxa"/>
            <w:bottom w:w="0" w:type="dxa"/>
            <w:right w:w="108" w:type="dxa"/>
          </w:tblCellMar>
        </w:tblPrEx>
        <w:trPr>
          <w:trHeight w:val="693" w:hRule="atLeast"/>
        </w:trPr>
        <w:tc>
          <w:tcPr>
            <w:tcW w:w="1951"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99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trHeight w:val="415"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r>
              <w:rPr>
                <w:rFonts w:ascii="宋体" w:cs="宋体"/>
                <w:sz w:val="24"/>
              </w:rPr>
              <w:t>州级“最美家庭”</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20户</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宋体" w:cs="宋体"/>
                <w:sz w:val="24"/>
              </w:rPr>
              <w:t>评选20户州级“最美家庭”并制作奖牌</w:t>
            </w:r>
          </w:p>
        </w:tc>
      </w:tr>
      <w:tr>
        <w:tblPrEx>
          <w:tblCellMar>
            <w:top w:w="0" w:type="dxa"/>
            <w:left w:w="108" w:type="dxa"/>
            <w:bottom w:w="0" w:type="dxa"/>
            <w:right w:w="108" w:type="dxa"/>
          </w:tblCellMar>
        </w:tblPrEx>
        <w:trPr>
          <w:trHeight w:val="415"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法治宣讲、家教巡讲</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法治宣讲、家教巡讲</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宋体" w:cs="宋体"/>
                <w:sz w:val="24"/>
              </w:rPr>
              <w:t>开展</w:t>
            </w:r>
            <w:r>
              <w:rPr>
                <w:rFonts w:hint="eastAsia" w:ascii="宋体" w:cs="宋体"/>
                <w:sz w:val="24"/>
              </w:rPr>
              <w:t>2021年“净土春晖”法治宣讲</w:t>
            </w:r>
            <w:r>
              <w:rPr>
                <w:rFonts w:ascii="宋体" w:cs="宋体"/>
                <w:sz w:val="24"/>
              </w:rPr>
              <w:t>39场，科学家教巡讲18场。</w:t>
            </w:r>
          </w:p>
        </w:tc>
      </w:tr>
      <w:tr>
        <w:tblPrEx>
          <w:tblCellMar>
            <w:top w:w="0" w:type="dxa"/>
            <w:left w:w="108" w:type="dxa"/>
            <w:bottom w:w="0" w:type="dxa"/>
            <w:right w:w="108" w:type="dxa"/>
          </w:tblCellMar>
        </w:tblPrEx>
        <w:trPr>
          <w:trHeight w:val="415"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r>
      <w:tr>
        <w:tblPrEx>
          <w:tblCellMar>
            <w:top w:w="0" w:type="dxa"/>
            <w:left w:w="108" w:type="dxa"/>
            <w:bottom w:w="0" w:type="dxa"/>
            <w:right w:w="108" w:type="dxa"/>
          </w:tblCellMar>
        </w:tblPrEx>
        <w:trPr>
          <w:trHeight w:val="480"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项目资金</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11万元</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hAnsi="仿宋_GB2312" w:cs="仿宋_GB2312"/>
                <w:color w:val="000000"/>
                <w:szCs w:val="21"/>
              </w:rPr>
              <w:t>11万元</w:t>
            </w:r>
          </w:p>
        </w:tc>
      </w:tr>
      <w:tr>
        <w:tblPrEx>
          <w:tblCellMar>
            <w:top w:w="0" w:type="dxa"/>
            <w:left w:w="108" w:type="dxa"/>
            <w:bottom w:w="0" w:type="dxa"/>
            <w:right w:w="108" w:type="dxa"/>
          </w:tblCellMar>
        </w:tblPrEx>
        <w:trPr>
          <w:trHeight w:val="480"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妇女儿童</w:t>
            </w:r>
            <w:r>
              <w:rPr>
                <w:rFonts w:ascii="宋体" w:cs="宋体"/>
                <w:sz w:val="24"/>
              </w:rPr>
              <w:t>工作</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cs="宋体"/>
                <w:sz w:val="24"/>
              </w:rPr>
            </w:pPr>
            <w:r>
              <w:rPr>
                <w:rFonts w:ascii="宋体" w:cs="宋体"/>
                <w:sz w:val="24"/>
              </w:rPr>
              <w:t>促进家庭和妇女儿童工作</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cs="宋体"/>
                <w:sz w:val="24"/>
              </w:rPr>
            </w:pPr>
            <w:r>
              <w:rPr>
                <w:rFonts w:ascii="宋体" w:cs="宋体"/>
                <w:sz w:val="24"/>
              </w:rPr>
              <w:t>促进家庭家教和妇女儿童各项工作</w:t>
            </w:r>
          </w:p>
        </w:tc>
      </w:tr>
      <w:tr>
        <w:tblPrEx>
          <w:tblCellMar>
            <w:top w:w="0" w:type="dxa"/>
            <w:left w:w="108" w:type="dxa"/>
            <w:bottom w:w="0" w:type="dxa"/>
            <w:right w:w="108" w:type="dxa"/>
          </w:tblCellMar>
        </w:tblPrEx>
        <w:trPr>
          <w:trHeight w:val="480" w:hRule="atLeast"/>
        </w:trPr>
        <w:tc>
          <w:tcPr>
            <w:tcW w:w="1951"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宋体" w:cs="宋体"/>
                <w:sz w:val="24"/>
              </w:rPr>
              <w:t>传承好家风</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cs="宋体"/>
                <w:sz w:val="24"/>
              </w:rPr>
            </w:pPr>
            <w:r>
              <w:rPr>
                <w:rFonts w:ascii="宋体" w:cs="宋体"/>
                <w:sz w:val="24"/>
              </w:rPr>
              <w:t>弘扬社会主义核心价值观</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spacing w:before="93"/>
              <w:jc w:val="center"/>
              <w:rPr>
                <w:rFonts w:ascii="宋体" w:eastAsia="宋体" w:cs="宋体"/>
                <w:sz w:val="24"/>
              </w:rPr>
            </w:pPr>
            <w:r>
              <w:rPr>
                <w:rFonts w:ascii="宋体" w:eastAsia="宋体" w:cs="宋体"/>
                <w:sz w:val="24"/>
              </w:rPr>
              <w:t>有助于</w:t>
            </w:r>
            <w:r>
              <w:rPr>
                <w:rFonts w:hint="eastAsia" w:ascii="宋体" w:eastAsia="宋体" w:cs="宋体"/>
                <w:sz w:val="24"/>
              </w:rPr>
              <w:t>传承良好家风、弘扬社会主义核心价值观、维护社会稳定。</w:t>
            </w:r>
          </w:p>
        </w:tc>
      </w:tr>
      <w:tr>
        <w:tblPrEx>
          <w:tblCellMar>
            <w:top w:w="0" w:type="dxa"/>
            <w:left w:w="108" w:type="dxa"/>
            <w:bottom w:w="0" w:type="dxa"/>
            <w:right w:w="108" w:type="dxa"/>
          </w:tblCellMar>
        </w:tblPrEx>
        <w:trPr>
          <w:trHeight w:val="530" w:hRule="atLeast"/>
        </w:trPr>
        <w:tc>
          <w:tcPr>
            <w:tcW w:w="1951"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受益群众满意度</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100%</w:t>
            </w:r>
          </w:p>
        </w:tc>
        <w:tc>
          <w:tcPr>
            <w:tcW w:w="2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100%</w:t>
            </w:r>
          </w:p>
        </w:tc>
      </w:tr>
    </w:tbl>
    <w:p/>
    <w:p>
      <w:pPr>
        <w:pStyle w:val="5"/>
        <w:spacing w:before="93"/>
      </w:pPr>
    </w:p>
    <w:p>
      <w:pPr>
        <w:snapToGrid w:val="0"/>
        <w:spacing w:line="600" w:lineRule="exact"/>
        <w:jc w:val="center"/>
        <w:rPr>
          <w:rFonts w:ascii="华文仿宋" w:hAnsi="华文仿宋" w:eastAsia="华文仿宋" w:cs="华文仿宋"/>
          <w:sz w:val="24"/>
        </w:rPr>
      </w:pPr>
      <w:r>
        <w:rPr>
          <w:rFonts w:hint="eastAsia" w:ascii="方正小标宋简体" w:hAnsi="宋体" w:eastAsia="方正小标宋简体"/>
          <w:sz w:val="44"/>
          <w:szCs w:val="44"/>
        </w:rPr>
        <w:t>2021年专项预算项目支出绩效评价报告</w:t>
      </w:r>
    </w:p>
    <w:p>
      <w:pPr>
        <w:pStyle w:val="35"/>
        <w:spacing w:line="600" w:lineRule="exact"/>
        <w:ind w:firstLine="640"/>
        <w:jc w:val="center"/>
        <w:rPr>
          <w:rFonts w:hint="eastAsia" w:ascii="宋体"/>
          <w:color w:val="auto"/>
          <w:kern w:val="2"/>
          <w:sz w:val="32"/>
          <w:szCs w:val="32"/>
        </w:rPr>
      </w:pPr>
      <w:r>
        <w:rPr>
          <w:rFonts w:hint="eastAsia" w:ascii="楷体_GB2312" w:hAnsi="华文仿宋" w:eastAsia="楷体_GB2312" w:cs="华文仿宋"/>
          <w:b/>
          <w:bCs/>
          <w:sz w:val="32"/>
          <w:szCs w:val="32"/>
        </w:rPr>
        <w:t>（四川省妇女儿童事业发展专项资金）</w:t>
      </w: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pStyle w:val="5"/>
        <w:spacing w:before="93" w:line="576" w:lineRule="exact"/>
        <w:ind w:firstLine="640" w:firstLineChars="200"/>
        <w:rPr>
          <w:kern w:val="2"/>
          <w:sz w:val="32"/>
          <w:szCs w:val="32"/>
        </w:rPr>
      </w:pPr>
      <w:r>
        <w:rPr>
          <w:kern w:val="2"/>
          <w:sz w:val="32"/>
          <w:szCs w:val="32"/>
        </w:rPr>
        <w:t>项目执行费用预算为8万元（大写：捌万元整），付款采用单位转账的方式进行支付，项目资金分两次支付。项目启动后，2021年10月30日前支付第一笔项目资金7万元（柒万元整），2021年11月项目完成评估后支付剩余项目资金1万元（大写：壹万元整），乙方向甲方提供税务监制增值税普通票据作为凭证。</w:t>
      </w:r>
    </w:p>
    <w:p>
      <w:pPr>
        <w:pStyle w:val="5"/>
        <w:spacing w:before="93" w:line="576" w:lineRule="exact"/>
        <w:ind w:firstLine="640" w:firstLineChars="200"/>
        <w:rPr>
          <w:kern w:val="2"/>
          <w:sz w:val="32"/>
          <w:szCs w:val="32"/>
        </w:rPr>
      </w:pPr>
      <w:r>
        <w:rPr>
          <w:kern w:val="2"/>
          <w:sz w:val="32"/>
          <w:szCs w:val="32"/>
        </w:rPr>
        <w:t>该项目由</w:t>
      </w:r>
      <w:r>
        <w:rPr>
          <w:rFonts w:hint="eastAsia"/>
          <w:kern w:val="2"/>
          <w:sz w:val="32"/>
          <w:szCs w:val="32"/>
        </w:rPr>
        <w:t>阿坝</w:t>
      </w:r>
      <w:r>
        <w:rPr>
          <w:kern w:val="2"/>
          <w:sz w:val="32"/>
          <w:szCs w:val="32"/>
        </w:rPr>
        <w:t>州妇联统筹项目资金组织实施</w:t>
      </w:r>
      <w:r>
        <w:rPr>
          <w:rFonts w:hint="eastAsia"/>
          <w:kern w:val="2"/>
          <w:sz w:val="32"/>
          <w:szCs w:val="32"/>
        </w:rPr>
        <w:t>。</w:t>
      </w:r>
    </w:p>
    <w:p>
      <w:pPr>
        <w:pStyle w:val="5"/>
        <w:spacing w:before="93" w:line="576" w:lineRule="exact"/>
        <w:ind w:firstLine="640" w:firstLineChars="200"/>
        <w:rPr>
          <w:kern w:val="2"/>
          <w:sz w:val="32"/>
          <w:szCs w:val="32"/>
        </w:rPr>
      </w:pPr>
      <w:r>
        <w:rPr>
          <w:rFonts w:hint="eastAsia"/>
          <w:kern w:val="2"/>
          <w:sz w:val="32"/>
          <w:szCs w:val="32"/>
        </w:rPr>
        <w:t>项目立项依据</w:t>
      </w:r>
      <w:r>
        <w:rPr>
          <w:kern w:val="2"/>
          <w:sz w:val="32"/>
          <w:szCs w:val="32"/>
        </w:rPr>
        <w:t>：为贯彻落实习近平总书记“注重家庭、注重家教、注重家风”的重要指示精神，推进家庭文明建设，加强家庭教育体系建设和指导服务。</w:t>
      </w:r>
      <w:r>
        <w:rPr>
          <w:rFonts w:hint="eastAsia"/>
          <w:kern w:val="2"/>
          <w:sz w:val="32"/>
          <w:szCs w:val="32"/>
        </w:rPr>
        <w:t>扩大家庭教育和科学育儿知识的宣传面，使学生家长整体素质和教育子女的能力得到全面提高；推进有关家庭教育法律法规的完善，促进未成年人思想道德建设，为培养中国特色社会主义事业合格建设者和接班人打下坚实基础。资金申报的</w:t>
      </w:r>
      <w:r>
        <w:rPr>
          <w:kern w:val="2"/>
          <w:sz w:val="32"/>
          <w:szCs w:val="32"/>
        </w:rPr>
        <w:t>依据：《四川省妇女儿童事业发展专项资金管理办法》（川财行[2017]13号）</w:t>
      </w:r>
      <w:r>
        <w:rPr>
          <w:rFonts w:hint="eastAsia"/>
          <w:kern w:val="2"/>
          <w:sz w:val="32"/>
          <w:szCs w:val="32"/>
        </w:rPr>
        <w:t>。</w:t>
      </w:r>
    </w:p>
    <w:p>
      <w:pPr>
        <w:pStyle w:val="5"/>
        <w:spacing w:before="93" w:line="576" w:lineRule="exact"/>
        <w:ind w:firstLine="640" w:firstLineChars="200"/>
        <w:rPr>
          <w:kern w:val="2"/>
          <w:sz w:val="32"/>
          <w:szCs w:val="32"/>
        </w:rPr>
      </w:pPr>
      <w:r>
        <w:rPr>
          <w:rFonts w:hint="eastAsia"/>
          <w:kern w:val="2"/>
          <w:sz w:val="32"/>
          <w:szCs w:val="32"/>
        </w:rPr>
        <w:t>资金分配的原则及考虑因素</w:t>
      </w:r>
      <w:r>
        <w:rPr>
          <w:kern w:val="2"/>
          <w:sz w:val="32"/>
          <w:szCs w:val="32"/>
        </w:rPr>
        <w:t>：实施项目化家庭教育服务。</w:t>
      </w:r>
    </w:p>
    <w:p>
      <w:pPr>
        <w:pStyle w:val="5"/>
        <w:spacing w:before="93" w:line="576" w:lineRule="exact"/>
        <w:ind w:firstLine="640" w:firstLineChars="200"/>
        <w:rPr>
          <w:kern w:val="2"/>
          <w:sz w:val="32"/>
          <w:szCs w:val="32"/>
        </w:rPr>
      </w:pPr>
      <w:r>
        <w:rPr>
          <w:kern w:val="2"/>
          <w:sz w:val="32"/>
          <w:szCs w:val="32"/>
        </w:rPr>
        <w:t>预算调整情况：2021年11月22日，阿坝州妇联与友邦社会工作服务中心签订《达萨社区家庭教育指导服务项目补充协议，将“项目资金分两次支付。项目启动后，2021年10月30日前支付第一笔项目资金7万元（柒万元整），2021年11月项目完成评估后支付剩余项目资金1万元（大写：壹万元整），乙方向甲方提供税务监制增值税普通票据作为凭证。”改为“项目资金分两次支付。项目启动后，2021年10月30日前支付第一笔项目资金7万元（柒万元整），2021年11月项目完成评估后支付剩余项目资金1万元（大写：壹万元整），其中3000元评估费由甲方州妇联支付给成都市卓信社会服务评估中心，7000元（柒千元整）支付给乙方友邦社会工作服务中心，乙方向甲方提供税务监制增值税普通票据作为凭证。”项目符合资金管理办法规定。</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（二）项目绩效目标</w:t>
      </w:r>
    </w:p>
    <w:p>
      <w:pPr>
        <w:pStyle w:val="5"/>
        <w:spacing w:before="93" w:line="576" w:lineRule="exact"/>
        <w:ind w:firstLine="640" w:firstLineChars="200"/>
        <w:rPr>
          <w:kern w:val="2"/>
          <w:sz w:val="32"/>
          <w:szCs w:val="32"/>
        </w:rPr>
      </w:pPr>
      <w:r>
        <w:rPr>
          <w:kern w:val="2"/>
          <w:sz w:val="32"/>
          <w:szCs w:val="32"/>
        </w:rPr>
        <w:t>1.项目</w:t>
      </w:r>
      <w:r>
        <w:rPr>
          <w:rFonts w:hint="eastAsia"/>
          <w:kern w:val="2"/>
          <w:sz w:val="32"/>
          <w:szCs w:val="32"/>
        </w:rPr>
        <w:t>内容：该项目由阿坝州友邦社会工作服务中心承接，周期为8个月。该项目服务内容包括：为达萨社区的孩子们提供“五点半家庭教育课堂”；开展专题讲座，让家长更加了解孩子的身心特点，正视孩子在成长过程中出现的问题；开展小组活动，让孩子更好地认识自己、了解自己；开展亲子活动，让家长和孩子更加了解彼此、关系更加和谐；开展个案服务，对心理障碍孩子进行心理疏导。</w:t>
      </w:r>
    </w:p>
    <w:p>
      <w:pPr>
        <w:pStyle w:val="5"/>
        <w:spacing w:before="93" w:line="576" w:lineRule="exact"/>
        <w:ind w:firstLine="640" w:firstLineChars="200"/>
        <w:rPr>
          <w:kern w:val="2"/>
          <w:sz w:val="32"/>
          <w:szCs w:val="32"/>
        </w:rPr>
      </w:pPr>
      <w:r>
        <w:rPr>
          <w:rFonts w:hint="eastAsia"/>
          <w:kern w:val="2"/>
          <w:sz w:val="32"/>
          <w:szCs w:val="32"/>
        </w:rPr>
        <w:t>2.项目应实现的具体绩效目标，包括目标的量化、细化情况以及项目实施进度计划等</w:t>
      </w:r>
      <w:r>
        <w:rPr>
          <w:kern w:val="2"/>
          <w:sz w:val="32"/>
          <w:szCs w:val="32"/>
        </w:rPr>
        <w:t>：</w:t>
      </w:r>
      <w:r>
        <w:rPr>
          <w:rFonts w:hint="eastAsia"/>
          <w:kern w:val="2"/>
          <w:sz w:val="32"/>
          <w:szCs w:val="32"/>
        </w:rPr>
        <w:t>项目总体目标是扩大家庭教育和科学育儿知识的宣传面，使学生家长整体素质和教育子女的能力得到全面提高；推进有关家庭教育法律法规的完善，促进未成年人思想道德建设，为培养中国特色社会主义事业合格建设者和接班人打下坚实基础。</w:t>
      </w:r>
    </w:p>
    <w:p>
      <w:pPr>
        <w:pStyle w:val="5"/>
        <w:spacing w:before="93" w:line="576" w:lineRule="exact"/>
        <w:ind w:firstLine="640" w:firstLineChars="200"/>
        <w:rPr>
          <w:kern w:val="2"/>
          <w:sz w:val="32"/>
          <w:szCs w:val="32"/>
        </w:rPr>
      </w:pPr>
      <w:r>
        <w:rPr>
          <w:rFonts w:hint="eastAsia"/>
          <w:kern w:val="2"/>
          <w:sz w:val="32"/>
          <w:szCs w:val="32"/>
        </w:rPr>
        <w:t>项目具体目标：</w:t>
      </w:r>
      <w:r>
        <w:rPr>
          <w:kern w:val="2"/>
          <w:sz w:val="32"/>
          <w:szCs w:val="32"/>
        </w:rPr>
        <w:t>一是</w:t>
      </w:r>
      <w:r>
        <w:rPr>
          <w:rFonts w:hint="eastAsia"/>
          <w:kern w:val="2"/>
          <w:sz w:val="32"/>
          <w:szCs w:val="32"/>
        </w:rPr>
        <w:t>通过家庭教育的方式，为达萨社区的孩子们提供“达萨社区家庭教育指导服务”，让家长和孩子们一起学习</w:t>
      </w:r>
      <w:r>
        <w:rPr>
          <w:kern w:val="2"/>
          <w:sz w:val="32"/>
          <w:szCs w:val="32"/>
        </w:rPr>
        <w:t>；二是</w:t>
      </w:r>
      <w:r>
        <w:rPr>
          <w:rFonts w:hint="eastAsia"/>
          <w:kern w:val="2"/>
          <w:sz w:val="32"/>
          <w:szCs w:val="32"/>
        </w:rPr>
        <w:t>通过专题讲座，希望家长更多了解孩子的身心特点，正视孩子在成长过程中出现的问题</w:t>
      </w:r>
      <w:r>
        <w:rPr>
          <w:kern w:val="2"/>
          <w:sz w:val="32"/>
          <w:szCs w:val="32"/>
        </w:rPr>
        <w:t>；三是</w:t>
      </w:r>
      <w:r>
        <w:rPr>
          <w:rFonts w:hint="eastAsia"/>
          <w:kern w:val="2"/>
          <w:sz w:val="32"/>
          <w:szCs w:val="32"/>
        </w:rPr>
        <w:t>通过小组活动的形式，让孩子更好地认识自己、了解自己</w:t>
      </w:r>
      <w:r>
        <w:rPr>
          <w:kern w:val="2"/>
          <w:sz w:val="32"/>
          <w:szCs w:val="32"/>
        </w:rPr>
        <w:t>；四是通过</w:t>
      </w:r>
      <w:r>
        <w:rPr>
          <w:rFonts w:hint="eastAsia"/>
          <w:kern w:val="2"/>
          <w:sz w:val="32"/>
          <w:szCs w:val="32"/>
        </w:rPr>
        <w:t>亲子活动，让家长和孩子更加了解彼此、关系更加和谐。</w:t>
      </w:r>
    </w:p>
    <w:p>
      <w:pPr>
        <w:pStyle w:val="5"/>
        <w:spacing w:before="93" w:line="576" w:lineRule="exact"/>
        <w:ind w:firstLine="640" w:firstLineChars="200"/>
        <w:rPr>
          <w:kern w:val="2"/>
          <w:sz w:val="32"/>
          <w:szCs w:val="32"/>
        </w:rPr>
      </w:pPr>
      <w:r>
        <w:rPr>
          <w:kern w:val="2"/>
          <w:sz w:val="32"/>
          <w:szCs w:val="32"/>
        </w:rPr>
        <w:t>项目按期完成，</w:t>
      </w:r>
      <w:r>
        <w:rPr>
          <w:rFonts w:hint="eastAsia"/>
          <w:kern w:val="2"/>
          <w:sz w:val="32"/>
          <w:szCs w:val="32"/>
        </w:rPr>
        <w:t>申报内容与实际相符，申报目标合理可行</w:t>
      </w:r>
      <w:r>
        <w:rPr>
          <w:kern w:val="2"/>
          <w:sz w:val="32"/>
          <w:szCs w:val="32"/>
        </w:rPr>
        <w:t>。</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（三）项目</w:t>
      </w:r>
      <w:r>
        <w:rPr>
          <w:rFonts w:ascii="楷体_GB2312" w:eastAsia="楷体_GB2312"/>
          <w:b/>
          <w:sz w:val="32"/>
          <w:szCs w:val="32"/>
          <w:lang w:val="zh-CN"/>
        </w:rPr>
        <w:t>资金申报相符性</w:t>
      </w:r>
    </w:p>
    <w:p>
      <w:pPr>
        <w:pStyle w:val="5"/>
        <w:spacing w:before="93" w:line="576" w:lineRule="exact"/>
        <w:ind w:firstLine="640" w:firstLineChars="200"/>
        <w:rPr>
          <w:kern w:val="2"/>
          <w:sz w:val="32"/>
          <w:szCs w:val="32"/>
        </w:rPr>
      </w:pPr>
      <w:r>
        <w:rPr>
          <w:kern w:val="2"/>
          <w:sz w:val="32"/>
          <w:szCs w:val="32"/>
        </w:rPr>
        <w:t>项目资金申报内容与具体实施内容相符，申报目标合理可行。</w:t>
      </w:r>
      <w:r>
        <w:rPr>
          <w:rFonts w:hint="eastAsia"/>
          <w:kern w:val="2"/>
          <w:sz w:val="32"/>
          <w:szCs w:val="32"/>
        </w:rPr>
        <w:t>项目绩效自评</w:t>
      </w:r>
      <w:r>
        <w:rPr>
          <w:kern w:val="2"/>
          <w:sz w:val="32"/>
          <w:szCs w:val="32"/>
        </w:rPr>
        <w:t>首先由项目实施方阿坝州友邦社会工作服务中心进行项目总结报告，再由第三方--成都市卓信社会服务评估中心进行结项评估。</w:t>
      </w:r>
    </w:p>
    <w:p>
      <w:pPr>
        <w:pStyle w:val="5"/>
        <w:spacing w:before="93" w:line="576" w:lineRule="exact"/>
        <w:ind w:firstLine="640" w:firstLineChars="200"/>
        <w:rPr>
          <w:kern w:val="2"/>
          <w:sz w:val="32"/>
          <w:szCs w:val="32"/>
        </w:rPr>
      </w:pPr>
      <w:r>
        <w:rPr>
          <w:rFonts w:hint="eastAsia"/>
          <w:kern w:val="2"/>
          <w:sz w:val="32"/>
          <w:szCs w:val="32"/>
        </w:rPr>
        <w:t>资金支持具体项目的条件、范围与支持方式概况</w:t>
      </w:r>
      <w:r>
        <w:rPr>
          <w:kern w:val="2"/>
          <w:sz w:val="32"/>
          <w:szCs w:val="32"/>
        </w:rPr>
        <w:t>：</w:t>
      </w:r>
      <w:r>
        <w:rPr>
          <w:rFonts w:hint="eastAsia"/>
          <w:kern w:val="2"/>
          <w:sz w:val="32"/>
          <w:szCs w:val="32"/>
        </w:rPr>
        <w:t>家庭教育是国民终身教育体系的重要组成部分，在塑造儿童行为习惯、文化素养、道德品行和价值观念等方面具有不可替代的作用，是一切教育的起点和基石。重视和加强家庭教育工作，关系到儿童切身利益与健康成长，关系到千家万户安居乐业与和谐幸福，关系到社会稳定与文明进步，是教育培养社会主义建设者和接班人的重要基础工程。</w:t>
      </w:r>
    </w:p>
    <w:p>
      <w:pPr>
        <w:pStyle w:val="5"/>
        <w:spacing w:before="93" w:line="576" w:lineRule="exact"/>
        <w:ind w:firstLine="640" w:firstLineChars="200"/>
        <w:rPr>
          <w:kern w:val="2"/>
          <w:sz w:val="32"/>
          <w:szCs w:val="32"/>
        </w:rPr>
      </w:pPr>
      <w:r>
        <w:rPr>
          <w:rFonts w:hint="eastAsia"/>
          <w:kern w:val="2"/>
          <w:sz w:val="32"/>
          <w:szCs w:val="32"/>
        </w:rPr>
        <w:t>据调查，马尔康市达萨社区部分家庭，由于孩子长期由爷爷奶奶照顾（父母打工，往往很晚回家），下午孩子放学后，爷爷奶奶无力管理和教育孩子。同时，这些孩子由于处于小学阶段自我照顾能力较弱，很容易出现安全隐患。因此由阿坝州妇联主办，阿坝州友邦社会工作服务中心承接“达萨社区家庭教育指导服务”项目，为家长解决了后顾之忧，为学生提供了学习娱乐的场所。</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w:t>
      </w:r>
      <w:r>
        <w:rPr>
          <w:rFonts w:ascii="黑体" w:eastAsia="黑体"/>
          <w:sz w:val="32"/>
          <w:szCs w:val="32"/>
        </w:rPr>
        <w:t>实施及管理</w:t>
      </w:r>
      <w:r>
        <w:rPr>
          <w:rFonts w:hint="eastAsia" w:ascii="黑体" w:eastAsia="黑体"/>
          <w:sz w:val="32"/>
          <w:szCs w:val="32"/>
        </w:rPr>
        <w:t>情况</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w:t>
      </w:r>
      <w:r>
        <w:rPr>
          <w:rFonts w:ascii="楷体_GB2312" w:eastAsia="楷体_GB2312"/>
          <w:b/>
          <w:sz w:val="32"/>
          <w:szCs w:val="32"/>
          <w:lang w:val="zh-CN"/>
        </w:rPr>
        <w:t>一</w:t>
      </w:r>
      <w:r>
        <w:rPr>
          <w:rFonts w:hint="eastAsia" w:ascii="楷体_GB2312" w:eastAsia="楷体_GB2312"/>
          <w:b/>
          <w:sz w:val="32"/>
          <w:szCs w:val="32"/>
          <w:lang w:val="zh-CN"/>
        </w:rPr>
        <w:t>）资金计划、到位及使用情况</w:t>
      </w:r>
    </w:p>
    <w:p>
      <w:pPr>
        <w:pStyle w:val="5"/>
        <w:spacing w:before="93" w:line="576" w:lineRule="exact"/>
        <w:ind w:firstLine="640" w:firstLineChars="200"/>
        <w:rPr>
          <w:kern w:val="2"/>
          <w:sz w:val="32"/>
          <w:szCs w:val="32"/>
        </w:rPr>
      </w:pPr>
      <w:r>
        <w:rPr>
          <w:kern w:val="2"/>
          <w:sz w:val="32"/>
          <w:szCs w:val="32"/>
        </w:rPr>
        <w:t>1.项目</w:t>
      </w:r>
      <w:r>
        <w:rPr>
          <w:rFonts w:hint="eastAsia"/>
          <w:kern w:val="2"/>
          <w:sz w:val="32"/>
          <w:szCs w:val="32"/>
        </w:rPr>
        <w:t>计划</w:t>
      </w:r>
      <w:r>
        <w:rPr>
          <w:kern w:val="2"/>
          <w:sz w:val="32"/>
          <w:szCs w:val="32"/>
        </w:rPr>
        <w:t>及到位：</w:t>
      </w:r>
      <w:r>
        <w:rPr>
          <w:rFonts w:hint="eastAsia"/>
          <w:kern w:val="2"/>
          <w:sz w:val="32"/>
          <w:szCs w:val="32"/>
        </w:rPr>
        <w:t>该项目</w:t>
      </w:r>
      <w:r>
        <w:rPr>
          <w:kern w:val="2"/>
          <w:sz w:val="32"/>
          <w:szCs w:val="32"/>
        </w:rPr>
        <w:t>资金80000元（捌万元整）</w:t>
      </w:r>
      <w:r>
        <w:rPr>
          <w:rFonts w:hint="eastAsia"/>
          <w:kern w:val="2"/>
          <w:sz w:val="32"/>
          <w:szCs w:val="32"/>
        </w:rPr>
        <w:t>全部为省妇儿专项资金。</w:t>
      </w:r>
      <w:r>
        <w:rPr>
          <w:kern w:val="2"/>
          <w:sz w:val="32"/>
          <w:szCs w:val="32"/>
        </w:rPr>
        <w:t>截至目前，</w:t>
      </w:r>
      <w:r>
        <w:rPr>
          <w:rFonts w:hint="eastAsia"/>
          <w:kern w:val="2"/>
          <w:sz w:val="32"/>
          <w:szCs w:val="32"/>
        </w:rPr>
        <w:t>该项目资金</w:t>
      </w:r>
      <w:r>
        <w:rPr>
          <w:kern w:val="2"/>
          <w:sz w:val="32"/>
          <w:szCs w:val="32"/>
        </w:rPr>
        <w:t>80000元（捌万元整）全部</w:t>
      </w:r>
      <w:r>
        <w:rPr>
          <w:rFonts w:hint="eastAsia"/>
          <w:kern w:val="2"/>
          <w:sz w:val="32"/>
          <w:szCs w:val="32"/>
        </w:rPr>
        <w:t>到位</w:t>
      </w:r>
      <w:r>
        <w:rPr>
          <w:kern w:val="2"/>
          <w:sz w:val="32"/>
          <w:szCs w:val="32"/>
        </w:rPr>
        <w:t>，资金到位率达100%，资金到位及时。</w:t>
      </w:r>
    </w:p>
    <w:p>
      <w:pPr>
        <w:pStyle w:val="5"/>
        <w:spacing w:before="93" w:line="576" w:lineRule="exact"/>
        <w:ind w:firstLine="640" w:firstLineChars="200"/>
        <w:rPr>
          <w:kern w:val="2"/>
          <w:sz w:val="32"/>
          <w:szCs w:val="32"/>
        </w:rPr>
      </w:pPr>
      <w:r>
        <w:rPr>
          <w:kern w:val="2"/>
          <w:sz w:val="32"/>
          <w:szCs w:val="32"/>
        </w:rPr>
        <w:t>2</w:t>
      </w:r>
      <w:r>
        <w:rPr>
          <w:rFonts w:hint="eastAsia"/>
          <w:kern w:val="2"/>
          <w:sz w:val="32"/>
          <w:szCs w:val="32"/>
        </w:rPr>
        <w:t>．资金使用</w:t>
      </w:r>
      <w:r>
        <w:rPr>
          <w:kern w:val="2"/>
          <w:sz w:val="32"/>
          <w:szCs w:val="32"/>
        </w:rPr>
        <w:t>：</w:t>
      </w:r>
      <w:r>
        <w:rPr>
          <w:rFonts w:hint="eastAsia"/>
          <w:kern w:val="2"/>
          <w:sz w:val="32"/>
          <w:szCs w:val="32"/>
        </w:rPr>
        <w:t>该项目全部资金</w:t>
      </w:r>
      <w:r>
        <w:rPr>
          <w:kern w:val="2"/>
          <w:sz w:val="32"/>
          <w:szCs w:val="32"/>
        </w:rPr>
        <w:t>80000元（捌万元整）全部支出。按项目合同，项目资金分两次支付。项目启动后，2021年10月30日前支付了第一笔项目资金7万元（柒万元整），双方于2021年11月22日签订《补充协议》，甲方州妇联于2021年11月项目完成评估后支付了剩余项目资金1万元（大写：壹万元整），其中3000元评估费由甲方州妇联支付给了成都市卓信社会服务评估中心，7000元（柒千元整）支付给了乙方友邦社会工作服务中心，乙方向甲方提供税务监制增值税普通票据作为凭证。</w:t>
      </w:r>
    </w:p>
    <w:p>
      <w:pPr>
        <w:pStyle w:val="5"/>
        <w:spacing w:before="93" w:line="576" w:lineRule="exact"/>
        <w:ind w:firstLine="640" w:firstLineChars="200"/>
        <w:rPr>
          <w:kern w:val="2"/>
          <w:sz w:val="32"/>
          <w:szCs w:val="32"/>
        </w:rPr>
      </w:pPr>
      <w:r>
        <w:rPr>
          <w:rFonts w:hint="eastAsia"/>
          <w:kern w:val="2"/>
          <w:sz w:val="32"/>
          <w:szCs w:val="32"/>
        </w:rPr>
        <w:t>资金使用</w:t>
      </w:r>
      <w:r>
        <w:rPr>
          <w:kern w:val="2"/>
          <w:sz w:val="32"/>
          <w:szCs w:val="32"/>
        </w:rPr>
        <w:t>具有</w:t>
      </w:r>
      <w:r>
        <w:rPr>
          <w:rFonts w:hint="eastAsia"/>
          <w:kern w:val="2"/>
          <w:sz w:val="32"/>
          <w:szCs w:val="32"/>
        </w:rPr>
        <w:t>安全性、规范性及有效性，资金支付范围、支付标准、支付进度、支付依据等合规合法、与预算相符</w:t>
      </w:r>
      <w:r>
        <w:rPr>
          <w:kern w:val="2"/>
          <w:sz w:val="32"/>
          <w:szCs w:val="32"/>
        </w:rPr>
        <w:t>。</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w:t>
      </w:r>
      <w:r>
        <w:rPr>
          <w:rFonts w:ascii="楷体_GB2312" w:eastAsia="楷体_GB2312"/>
          <w:b/>
          <w:sz w:val="32"/>
          <w:szCs w:val="32"/>
          <w:lang w:val="zh-CN"/>
        </w:rPr>
        <w:t>二</w:t>
      </w:r>
      <w:r>
        <w:rPr>
          <w:rFonts w:hint="eastAsia" w:ascii="楷体_GB2312" w:eastAsia="楷体_GB2312"/>
          <w:b/>
          <w:sz w:val="32"/>
          <w:szCs w:val="32"/>
          <w:lang w:val="zh-CN"/>
        </w:rPr>
        <w:t>）项目财务管理情况</w:t>
      </w:r>
    </w:p>
    <w:p>
      <w:pPr>
        <w:pStyle w:val="5"/>
        <w:spacing w:before="93" w:line="576" w:lineRule="exact"/>
        <w:ind w:firstLine="640" w:firstLineChars="200"/>
        <w:rPr>
          <w:kern w:val="2"/>
          <w:sz w:val="32"/>
          <w:szCs w:val="32"/>
        </w:rPr>
      </w:pPr>
      <w:r>
        <w:rPr>
          <w:rFonts w:hint="eastAsia"/>
          <w:kern w:val="2"/>
          <w:sz w:val="32"/>
          <w:szCs w:val="32"/>
        </w:rPr>
        <w:t>资金管理办法制定情况</w:t>
      </w:r>
      <w:r>
        <w:rPr>
          <w:kern w:val="2"/>
          <w:sz w:val="32"/>
          <w:szCs w:val="32"/>
        </w:rPr>
        <w:t>：项目投入工作人员6名，包括4名专职社工，1名兼职督导，1名兼职会计，投入人员充足。项目建立有相关的管理制度、财务管理制度等。项目执行中，周期、资金、人员、内容或形式等未进行变更。项目进度按照项目计划进行，进度总体未出现提前或滞后，把控较好。</w:t>
      </w:r>
    </w:p>
    <w:p>
      <w:pPr>
        <w:pStyle w:val="5"/>
        <w:spacing w:before="93" w:line="576" w:lineRule="exact"/>
        <w:ind w:firstLine="640" w:firstLineChars="200"/>
        <w:rPr>
          <w:kern w:val="2"/>
          <w:sz w:val="32"/>
          <w:szCs w:val="32"/>
        </w:rPr>
      </w:pPr>
      <w:r>
        <w:rPr>
          <w:rFonts w:hint="eastAsia"/>
          <w:kern w:val="2"/>
          <w:sz w:val="32"/>
          <w:szCs w:val="32"/>
        </w:rPr>
        <w:t>项目实施单位财务管理制度</w:t>
      </w:r>
      <w:r>
        <w:rPr>
          <w:kern w:val="2"/>
          <w:sz w:val="32"/>
          <w:szCs w:val="32"/>
        </w:rPr>
        <w:t>较为</w:t>
      </w:r>
      <w:r>
        <w:rPr>
          <w:rFonts w:hint="eastAsia"/>
          <w:kern w:val="2"/>
          <w:sz w:val="32"/>
          <w:szCs w:val="32"/>
        </w:rPr>
        <w:t>健全，</w:t>
      </w:r>
      <w:r>
        <w:rPr>
          <w:kern w:val="2"/>
          <w:sz w:val="32"/>
          <w:szCs w:val="32"/>
        </w:rPr>
        <w:t>但需根据项目执行情况完善财务制度，规范费用报销单的填写，较为</w:t>
      </w:r>
      <w:r>
        <w:rPr>
          <w:rFonts w:hint="eastAsia"/>
          <w:kern w:val="2"/>
          <w:sz w:val="32"/>
          <w:szCs w:val="32"/>
        </w:rPr>
        <w:t>严格执行财务管理制度，账务处理及时，会计核算</w:t>
      </w:r>
      <w:r>
        <w:rPr>
          <w:kern w:val="2"/>
          <w:sz w:val="32"/>
          <w:szCs w:val="32"/>
        </w:rPr>
        <w:t>较为</w:t>
      </w:r>
      <w:r>
        <w:rPr>
          <w:rFonts w:hint="eastAsia"/>
          <w:kern w:val="2"/>
          <w:sz w:val="32"/>
          <w:szCs w:val="32"/>
        </w:rPr>
        <w:t>规范。</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（三）</w:t>
      </w:r>
      <w:r>
        <w:rPr>
          <w:rFonts w:ascii="楷体_GB2312" w:eastAsia="楷体_GB2312"/>
          <w:b/>
          <w:sz w:val="32"/>
          <w:szCs w:val="32"/>
          <w:lang w:val="zh-CN"/>
        </w:rPr>
        <w:t>项目组织实施情况</w:t>
      </w:r>
    </w:p>
    <w:p>
      <w:pPr>
        <w:pStyle w:val="5"/>
        <w:spacing w:before="93" w:line="576" w:lineRule="exact"/>
        <w:ind w:firstLine="640" w:firstLineChars="200"/>
        <w:rPr>
          <w:kern w:val="2"/>
          <w:sz w:val="32"/>
          <w:szCs w:val="32"/>
        </w:rPr>
      </w:pPr>
      <w:r>
        <w:rPr>
          <w:rFonts w:hint="eastAsia"/>
          <w:kern w:val="2"/>
          <w:sz w:val="32"/>
          <w:szCs w:val="32"/>
        </w:rPr>
        <w:t>项目配备4名专职社工，1名兼职督导，兼职会计1名。项目人员投入情况具体如下：</w:t>
      </w:r>
    </w:p>
    <w:tbl>
      <w:tblPr>
        <w:tblStyle w:val="17"/>
        <w:tblpPr w:leftFromText="180" w:rightFromText="180" w:vertAnchor="text" w:horzAnchor="page" w:tblpX="1637" w:tblpY="325"/>
        <w:tblOverlap w:val="never"/>
        <w:tblW w:w="9109"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683"/>
        <w:gridCol w:w="2390"/>
        <w:gridCol w:w="1711"/>
        <w:gridCol w:w="161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710" w:type="dxa"/>
            <w:tcBorders>
              <w:top w:val="single" w:color="auto" w:sz="4" w:space="0"/>
              <w:left w:val="single" w:color="auto" w:sz="6" w:space="0"/>
              <w:bottom w:val="single" w:color="auto" w:sz="4" w:space="0"/>
              <w:right w:val="single" w:color="auto" w:sz="4" w:space="0"/>
              <w:tl2br w:val="single" w:color="auto" w:sz="4" w:space="0"/>
            </w:tcBorders>
            <w:vAlign w:val="center"/>
          </w:tcPr>
          <w:p>
            <w:pPr>
              <w:adjustRightInd w:val="0"/>
              <w:snapToGrid w:val="0"/>
              <w:spacing w:line="320" w:lineRule="exact"/>
              <w:jc w:val="center"/>
              <w:rPr>
                <w:sz w:val="24"/>
              </w:rPr>
            </w:p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仿宋_GB2312" w:cs="仿宋_GB2312"/>
                <w:b/>
                <w:sz w:val="28"/>
                <w:szCs w:val="28"/>
              </w:rPr>
            </w:pPr>
            <w:r>
              <w:rPr>
                <w:rFonts w:hint="eastAsia" w:ascii="仿宋_GB2312" w:cs="仿宋_GB2312"/>
                <w:b/>
                <w:sz w:val="28"/>
                <w:szCs w:val="28"/>
              </w:rPr>
              <w:t>姓名</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仿宋_GB2312" w:cs="仿宋_GB2312"/>
                <w:b/>
                <w:sz w:val="28"/>
                <w:szCs w:val="28"/>
              </w:rPr>
            </w:pPr>
            <w:r>
              <w:rPr>
                <w:rFonts w:hint="eastAsia" w:ascii="仿宋_GB2312" w:cs="仿宋_GB2312"/>
                <w:b/>
                <w:sz w:val="28"/>
                <w:szCs w:val="28"/>
              </w:rPr>
              <w:t>职务/职称/职业资格</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仿宋_GB2312" w:cs="仿宋_GB2312"/>
                <w:b/>
                <w:sz w:val="28"/>
                <w:szCs w:val="28"/>
              </w:rPr>
            </w:pPr>
            <w:r>
              <w:rPr>
                <w:rFonts w:hint="eastAsia" w:ascii="仿宋_GB2312" w:cs="仿宋_GB2312"/>
                <w:b/>
                <w:sz w:val="28"/>
                <w:szCs w:val="28"/>
              </w:rPr>
              <w:t>专/兼职情况</w:t>
            </w:r>
          </w:p>
        </w:tc>
        <w:tc>
          <w:tcPr>
            <w:tcW w:w="1615"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320" w:lineRule="exact"/>
              <w:jc w:val="center"/>
              <w:rPr>
                <w:rFonts w:ascii="仿宋_GB2312" w:cs="仿宋_GB2312"/>
                <w:b/>
                <w:sz w:val="28"/>
                <w:szCs w:val="28"/>
              </w:rPr>
            </w:pPr>
            <w:r>
              <w:rPr>
                <w:rFonts w:hint="eastAsia" w:ascii="仿宋_GB2312" w:cs="仿宋_GB2312"/>
                <w:b/>
                <w:sz w:val="28"/>
                <w:szCs w:val="28"/>
              </w:rPr>
              <w:t>手机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71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320" w:lineRule="exact"/>
              <w:jc w:val="center"/>
              <w:rPr>
                <w:sz w:val="24"/>
              </w:rPr>
            </w:pPr>
            <w:r>
              <w:rPr>
                <w:sz w:val="24"/>
              </w:rPr>
              <w:t>项目</w:t>
            </w:r>
          </w:p>
          <w:p>
            <w:pPr>
              <w:adjustRightInd w:val="0"/>
              <w:snapToGrid w:val="0"/>
              <w:spacing w:line="320" w:lineRule="exact"/>
              <w:jc w:val="center"/>
              <w:rPr>
                <w:sz w:val="24"/>
              </w:rPr>
            </w:pPr>
            <w:r>
              <w:rPr>
                <w:sz w:val="24"/>
              </w:rPr>
              <w:t>负责人</w:t>
            </w: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哈她（女）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项目执行人</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专职</w:t>
            </w:r>
          </w:p>
        </w:tc>
        <w:tc>
          <w:tcPr>
            <w:tcW w:w="1615"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320" w:lineRule="exact"/>
              <w:jc w:val="center"/>
              <w:rPr>
                <w:sz w:val="24"/>
              </w:rPr>
            </w:pPr>
            <w:r>
              <w:rPr>
                <w:rFonts w:hint="eastAsia"/>
                <w:sz w:val="24"/>
              </w:rPr>
              <w:t>17381329176</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1710" w:type="dxa"/>
            <w:vMerge w:val="restart"/>
            <w:tcBorders>
              <w:top w:val="single" w:color="auto" w:sz="4" w:space="0"/>
              <w:left w:val="single" w:color="auto" w:sz="4" w:space="0"/>
              <w:right w:val="single" w:color="auto" w:sz="4" w:space="0"/>
            </w:tcBorders>
            <w:vAlign w:val="center"/>
          </w:tcPr>
          <w:p>
            <w:pPr>
              <w:adjustRightInd w:val="0"/>
              <w:snapToGrid w:val="0"/>
              <w:spacing w:line="320" w:lineRule="exact"/>
              <w:jc w:val="center"/>
              <w:rPr>
                <w:sz w:val="24"/>
              </w:rPr>
            </w:p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德勒初（女）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项目执行人</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专职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rPr>
            </w:pPr>
            <w:r>
              <w:rPr>
                <w:rFonts w:hint="eastAsia"/>
                <w:sz w:val="24"/>
              </w:rPr>
              <w:t>15281529833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89" w:hRule="exact"/>
        </w:trPr>
        <w:tc>
          <w:tcPr>
            <w:tcW w:w="1710" w:type="dxa"/>
            <w:vMerge w:val="continue"/>
            <w:tcBorders>
              <w:left w:val="single" w:color="auto" w:sz="4" w:space="0"/>
              <w:right w:val="single" w:color="auto" w:sz="4" w:space="0"/>
            </w:tcBorders>
            <w:vAlign w:val="center"/>
          </w:tc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firstLine="240" w:firstLineChars="100"/>
              <w:rPr>
                <w:sz w:val="24"/>
              </w:rPr>
            </w:pPr>
            <w:r>
              <w:rPr>
                <w:rFonts w:hint="eastAsia"/>
                <w:sz w:val="24"/>
              </w:rPr>
              <w:t>张宇（女）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项目执行人</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专职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sz w:val="24"/>
              </w:rPr>
            </w:pPr>
            <w:r>
              <w:rPr>
                <w:sz w:val="24"/>
              </w:rPr>
              <w:t>17093836777</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18" w:hRule="exact"/>
        </w:trPr>
        <w:tc>
          <w:tcPr>
            <w:tcW w:w="1710" w:type="dxa"/>
            <w:vMerge w:val="continue"/>
            <w:tcBorders>
              <w:left w:val="single" w:color="auto" w:sz="4" w:space="0"/>
              <w:right w:val="single" w:color="auto" w:sz="4" w:space="0"/>
            </w:tcBorders>
            <w:vAlign w:val="center"/>
          </w:tc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若姆斯吉（女）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项目执行人</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专职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sz w:val="24"/>
              </w:rPr>
            </w:pPr>
            <w:r>
              <w:rPr>
                <w:rFonts w:hint="eastAsia"/>
                <w:sz w:val="24"/>
              </w:rPr>
              <w:t>13795795552</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18" w:hRule="exact"/>
        </w:trPr>
        <w:tc>
          <w:tcPr>
            <w:tcW w:w="1710" w:type="dxa"/>
            <w:vMerge w:val="continue"/>
            <w:tcBorders>
              <w:left w:val="single" w:color="auto" w:sz="4" w:space="0"/>
              <w:right w:val="single" w:color="auto" w:sz="4" w:space="0"/>
            </w:tcBorders>
            <w:vAlign w:val="center"/>
          </w:tc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sz w:val="24"/>
                <w:szCs w:val="22"/>
              </w:rPr>
              <w:t>门木初</w:t>
            </w:r>
            <w:r>
              <w:rPr>
                <w:rFonts w:hint="eastAsia"/>
                <w:sz w:val="24"/>
                <w:szCs w:val="22"/>
              </w:rPr>
              <w:t>（女）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项目出纳</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专职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sz w:val="24"/>
              </w:rPr>
            </w:pPr>
            <w:r>
              <w:rPr>
                <w:rFonts w:hint="eastAsia"/>
                <w:sz w:val="24"/>
              </w:rPr>
              <w:t>18283749703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18" w:hRule="exact"/>
        </w:trPr>
        <w:tc>
          <w:tcPr>
            <w:tcW w:w="1710" w:type="dxa"/>
            <w:vMerge w:val="continue"/>
            <w:tcBorders>
              <w:left w:val="single" w:color="auto" w:sz="4" w:space="0"/>
              <w:right w:val="single" w:color="auto" w:sz="4" w:space="0"/>
            </w:tcBorders>
            <w:vAlign w:val="center"/>
          </w:tc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rPr>
            </w:pPr>
            <w:r>
              <w:rPr>
                <w:rFonts w:hint="eastAsia"/>
                <w:sz w:val="24"/>
              </w:rPr>
              <w:t>佘友富（男）</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项目督导</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兼职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rPr>
            </w:pPr>
            <w:r>
              <w:rPr>
                <w:rFonts w:hint="eastAsia"/>
                <w:sz w:val="24"/>
              </w:rPr>
              <w:t>13320678255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18" w:hRule="exact"/>
        </w:trPr>
        <w:tc>
          <w:tcPr>
            <w:tcW w:w="1710" w:type="dxa"/>
            <w:vMerge w:val="continue"/>
            <w:tcBorders>
              <w:left w:val="single" w:color="auto" w:sz="4" w:space="0"/>
              <w:bottom w:val="single" w:color="auto" w:sz="4" w:space="0"/>
              <w:right w:val="single" w:color="auto" w:sz="4" w:space="0"/>
            </w:tcBorders>
            <w:vAlign w:val="center"/>
          </w:tcPr>
          <w:p/>
        </w:tc>
        <w:tc>
          <w:tcPr>
            <w:tcW w:w="168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rPr>
            </w:pPr>
            <w:r>
              <w:rPr>
                <w:rFonts w:hint="eastAsia"/>
                <w:sz w:val="24"/>
              </w:rPr>
              <w:t>杨海华（女）</w:t>
            </w:r>
          </w:p>
        </w:tc>
        <w:tc>
          <w:tcPr>
            <w:tcW w:w="23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财务督导</w:t>
            </w:r>
          </w:p>
        </w:tc>
        <w:tc>
          <w:tcPr>
            <w:tcW w:w="17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sz w:val="24"/>
              </w:rPr>
            </w:pPr>
            <w:r>
              <w:rPr>
                <w:rFonts w:hint="eastAsia"/>
                <w:sz w:val="24"/>
              </w:rPr>
              <w:t>兼职</w:t>
            </w:r>
          </w:p>
        </w:tc>
        <w:tc>
          <w:tcPr>
            <w:tcW w:w="16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sz w:val="24"/>
              </w:rPr>
            </w:pPr>
            <w:r>
              <w:rPr>
                <w:rFonts w:hint="eastAsia"/>
                <w:sz w:val="24"/>
              </w:rPr>
              <w:t>18990447838</w:t>
            </w:r>
          </w:p>
        </w:tc>
      </w:tr>
    </w:tbl>
    <w:p>
      <w:pPr>
        <w:pStyle w:val="5"/>
        <w:spacing w:before="93" w:line="576" w:lineRule="exact"/>
        <w:ind w:firstLine="640" w:firstLineChars="200"/>
        <w:rPr>
          <w:kern w:val="2"/>
          <w:sz w:val="32"/>
          <w:szCs w:val="32"/>
        </w:rPr>
      </w:pPr>
      <w:r>
        <w:rPr>
          <w:rFonts w:hint="eastAsia"/>
          <w:kern w:val="2"/>
          <w:sz w:val="32"/>
          <w:szCs w:val="32"/>
        </w:rPr>
        <w:t>该项目现由阿坝州友邦社会工作服务中心承接，周期为8个月。该项目服务内容包括：为达萨社区的孩子们提供“五点半家庭教育课堂”；开展专题讲座，让家长更加了解孩子的身心特点，正视孩子在成长过程中出现的问题；开展小组活动，让孩子更好地认识自己、了解自己；开展亲子活动，让家长和孩子更加了解彼此、关系更加和谐；开展个案服务，对心理障碍孩子进行心理疏导。</w:t>
      </w:r>
    </w:p>
    <w:p>
      <w:pPr>
        <w:pStyle w:val="5"/>
        <w:spacing w:before="93" w:line="576" w:lineRule="exact"/>
        <w:ind w:firstLine="640" w:firstLineChars="200"/>
        <w:rPr>
          <w:kern w:val="2"/>
          <w:sz w:val="32"/>
          <w:szCs w:val="32"/>
        </w:rPr>
      </w:pPr>
      <w:r>
        <w:rPr>
          <w:rFonts w:hint="eastAsia"/>
          <w:kern w:val="2"/>
          <w:sz w:val="32"/>
          <w:szCs w:val="32"/>
        </w:rPr>
        <w:t>项目进度按照项目计划进行，进度总体未出现提前或滞后，把控较好。在项目落地区域关系互动方面，执行机构日常执行中，与达萨社区人员沟通项目活动内容，定期向州妇联报送项目动态，保障了相关方对项目开展情况的掌握。项目档案资料较为完整，包含项目活动方案、签到表、活动简报、活动满意度测评等服务痕迹</w:t>
      </w:r>
      <w:r>
        <w:rPr>
          <w:kern w:val="2"/>
          <w:sz w:val="32"/>
          <w:szCs w:val="32"/>
        </w:rPr>
        <w:t>。</w:t>
      </w:r>
    </w:p>
    <w:p>
      <w:pPr>
        <w:adjustRightInd w:val="0"/>
        <w:snapToGrid w:val="0"/>
        <w:spacing w:line="600" w:lineRule="exact"/>
        <w:ind w:firstLine="720"/>
        <w:rPr>
          <w:rFonts w:ascii="黑体" w:eastAsia="黑体"/>
          <w:sz w:val="32"/>
          <w:szCs w:val="32"/>
        </w:rPr>
      </w:pPr>
      <w:r>
        <w:rPr>
          <w:rFonts w:ascii="黑体" w:eastAsia="黑体"/>
          <w:sz w:val="32"/>
          <w:szCs w:val="32"/>
        </w:rPr>
        <w:t>三</w:t>
      </w:r>
      <w:r>
        <w:rPr>
          <w:rFonts w:hint="eastAsia" w:ascii="黑体" w:eastAsia="黑体"/>
          <w:sz w:val="32"/>
          <w:szCs w:val="32"/>
        </w:rPr>
        <w:t>、项目绩效情况</w:t>
      </w:r>
      <w:r>
        <w:rPr>
          <w:rFonts w:hint="eastAsia" w:ascii="黑体" w:eastAsia="黑体"/>
          <w:sz w:val="32"/>
          <w:szCs w:val="32"/>
        </w:rPr>
        <w:tab/>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（一）项目完成情况</w:t>
      </w:r>
    </w:p>
    <w:p>
      <w:pPr>
        <w:pStyle w:val="5"/>
        <w:spacing w:before="93" w:line="576" w:lineRule="exact"/>
        <w:ind w:firstLine="640" w:firstLineChars="200"/>
        <w:rPr>
          <w:kern w:val="2"/>
          <w:sz w:val="32"/>
          <w:szCs w:val="32"/>
        </w:rPr>
      </w:pPr>
      <w:r>
        <w:rPr>
          <w:kern w:val="2"/>
          <w:sz w:val="32"/>
          <w:szCs w:val="32"/>
        </w:rPr>
        <w:t>项目</w:t>
      </w:r>
      <w:r>
        <w:rPr>
          <w:rFonts w:hint="eastAsia"/>
          <w:kern w:val="2"/>
          <w:sz w:val="32"/>
          <w:szCs w:val="32"/>
        </w:rPr>
        <w:t>完成6节儿童教育小组；4节家长成长小组；两次亲子活动；10个个案服务；开展项目会议12次；简报13篇；五点半课堂达到4000人次。</w:t>
      </w:r>
    </w:p>
    <w:p>
      <w:pPr>
        <w:pStyle w:val="5"/>
        <w:spacing w:before="93" w:line="576" w:lineRule="exact"/>
        <w:ind w:firstLine="640" w:firstLineChars="200"/>
        <w:rPr>
          <w:kern w:val="2"/>
          <w:sz w:val="32"/>
          <w:szCs w:val="32"/>
        </w:rPr>
      </w:pPr>
      <w:r>
        <w:rPr>
          <w:kern w:val="2"/>
          <w:sz w:val="32"/>
          <w:szCs w:val="32"/>
        </w:rPr>
        <w:t>项目</w:t>
      </w:r>
      <w:r>
        <w:rPr>
          <w:rFonts w:hint="eastAsia"/>
          <w:kern w:val="2"/>
          <w:sz w:val="32"/>
          <w:szCs w:val="32"/>
        </w:rPr>
        <w:t>任务量完成、质量标准、进度计划、成本控制目标的实现程度</w:t>
      </w:r>
      <w:r>
        <w:rPr>
          <w:kern w:val="2"/>
          <w:sz w:val="32"/>
          <w:szCs w:val="32"/>
        </w:rPr>
        <w:t>符合要求</w:t>
      </w:r>
      <w:r>
        <w:rPr>
          <w:rFonts w:hint="eastAsia"/>
          <w:kern w:val="2"/>
          <w:sz w:val="32"/>
          <w:szCs w:val="32"/>
        </w:rPr>
        <w:t>。</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（二）项目效益情况</w:t>
      </w:r>
    </w:p>
    <w:p>
      <w:pPr>
        <w:pStyle w:val="5"/>
        <w:spacing w:before="93" w:line="576" w:lineRule="exact"/>
        <w:ind w:firstLine="640" w:firstLineChars="200"/>
        <w:rPr>
          <w:kern w:val="2"/>
          <w:sz w:val="32"/>
          <w:szCs w:val="32"/>
        </w:rPr>
      </w:pPr>
      <w:r>
        <w:rPr>
          <w:kern w:val="2"/>
          <w:sz w:val="32"/>
          <w:szCs w:val="32"/>
        </w:rPr>
        <w:t>覆盖州级家长学校青少年学生，培育和践行社会主义核心价值观，贯彻落实习近平总书记“注重家庭、注重家教、注重家风”的指示精神，提升家庭成员素质和建设“幸福家庭”的能力。</w:t>
      </w:r>
    </w:p>
    <w:p>
      <w:pPr>
        <w:pStyle w:val="5"/>
        <w:spacing w:before="93" w:line="576" w:lineRule="exact"/>
        <w:ind w:firstLine="640" w:firstLineChars="200"/>
        <w:rPr>
          <w:kern w:val="2"/>
          <w:sz w:val="32"/>
          <w:szCs w:val="32"/>
        </w:rPr>
      </w:pPr>
      <w:r>
        <w:rPr>
          <w:kern w:val="2"/>
          <w:sz w:val="32"/>
          <w:szCs w:val="32"/>
        </w:rPr>
        <w:t>一是借助个案、小组等专业方法的使用，提升了家长、儿童的自我认知，让家长更充分地了解了家庭教育的知识，让孩子更清楚地认识了自己，养成了良好的习惯，促进了家长与孩子间的关系；二是透过家庭教育讲座、亲子活动等普及性活动的开展，搭建起了相互交流、相互学习的平台、增进了社区、家长、孩子之间的情感，获得了社区及家长和孩子的认可；三是充分链接资源，与马尔康市团市委、妇联、社区、学校频繁互动，获得对项目的支持，链接学前教育专家、西南交通大学社工志愿者等人力资源，提升了项目的专业性；四是通过项目的开展，项目团队协助力有所提升，项目人员专业性及实践性也有所成长。项目基本按照协议完成了相应的工作任务，工作量适中。服务的受众面较多，同时，开展个案、小组等专业服务，活动资料比较规范，能体现任务完成的过程。</w:t>
      </w:r>
    </w:p>
    <w:p>
      <w:pPr>
        <w:pStyle w:val="5"/>
        <w:spacing w:before="93" w:line="576" w:lineRule="exact"/>
        <w:ind w:firstLine="640" w:firstLineChars="200"/>
        <w:rPr>
          <w:kern w:val="2"/>
          <w:sz w:val="32"/>
          <w:szCs w:val="32"/>
        </w:rPr>
      </w:pPr>
      <w:r>
        <w:rPr>
          <w:kern w:val="2"/>
          <w:sz w:val="32"/>
          <w:szCs w:val="32"/>
        </w:rPr>
        <w:t>全面贯彻中央、省委和州委关于家庭工作指示精神，满足广大家庭的迫切需求，让养成好戏习惯、形成好风气从妇女儿童抓起，从家庭抓起，积极发挥家长学校的作用，实现家校联动。</w:t>
      </w:r>
    </w:p>
    <w:p>
      <w:pPr>
        <w:adjustRightInd w:val="0"/>
        <w:snapToGrid w:val="0"/>
        <w:spacing w:line="600" w:lineRule="exact"/>
        <w:ind w:firstLine="720"/>
        <w:rPr>
          <w:rFonts w:ascii="黑体" w:eastAsia="黑体"/>
          <w:sz w:val="32"/>
          <w:szCs w:val="32"/>
        </w:rPr>
      </w:pPr>
      <w:r>
        <w:rPr>
          <w:rFonts w:ascii="黑体" w:eastAsia="黑体"/>
          <w:sz w:val="32"/>
          <w:szCs w:val="32"/>
        </w:rPr>
        <w:t>四</w:t>
      </w:r>
      <w:r>
        <w:rPr>
          <w:rFonts w:hint="eastAsia" w:ascii="黑体" w:eastAsia="黑体"/>
          <w:sz w:val="32"/>
          <w:szCs w:val="32"/>
        </w:rPr>
        <w:t>、</w:t>
      </w:r>
      <w:r>
        <w:rPr>
          <w:rFonts w:ascii="黑体" w:eastAsia="黑体"/>
          <w:sz w:val="32"/>
          <w:szCs w:val="32"/>
        </w:rPr>
        <w:t>问题</w:t>
      </w:r>
      <w:r>
        <w:rPr>
          <w:rFonts w:hint="eastAsia" w:ascii="黑体" w:eastAsia="黑体"/>
          <w:sz w:val="32"/>
          <w:szCs w:val="32"/>
        </w:rPr>
        <w:t>及建议</w:t>
      </w:r>
    </w:p>
    <w:p>
      <w:pPr>
        <w:pStyle w:val="5"/>
        <w:spacing w:before="93" w:line="576" w:lineRule="exact"/>
        <w:ind w:firstLine="640" w:firstLineChars="200"/>
        <w:rPr>
          <w:kern w:val="2"/>
          <w:sz w:val="32"/>
          <w:szCs w:val="32"/>
        </w:rPr>
      </w:pPr>
      <w:r>
        <w:rPr>
          <w:kern w:val="2"/>
          <w:sz w:val="32"/>
          <w:szCs w:val="32"/>
        </w:rPr>
        <w:t>项目按照协议完成了相应的工作任务，工作量适中。服务的受众面较多，同时，开展个案、小组等专业服务，活动资料比较规范，能体现任务完成的过程。</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w:t>
      </w:r>
      <w:r>
        <w:rPr>
          <w:rFonts w:ascii="楷体_GB2312" w:eastAsia="楷体_GB2312"/>
          <w:b/>
          <w:sz w:val="32"/>
          <w:szCs w:val="32"/>
          <w:lang w:val="zh-CN"/>
        </w:rPr>
        <w:t>一</w:t>
      </w:r>
      <w:r>
        <w:rPr>
          <w:rFonts w:hint="eastAsia" w:ascii="楷体_GB2312" w:eastAsia="楷体_GB2312"/>
          <w:b/>
          <w:sz w:val="32"/>
          <w:szCs w:val="32"/>
          <w:lang w:val="zh-CN"/>
        </w:rPr>
        <w:t>）存在的问题</w:t>
      </w:r>
    </w:p>
    <w:p>
      <w:pPr>
        <w:pStyle w:val="5"/>
        <w:spacing w:before="93" w:line="576" w:lineRule="exact"/>
        <w:ind w:firstLine="640" w:firstLineChars="200"/>
        <w:rPr>
          <w:kern w:val="2"/>
          <w:sz w:val="32"/>
          <w:szCs w:val="32"/>
        </w:rPr>
      </w:pPr>
      <w:r>
        <w:rPr>
          <w:kern w:val="2"/>
          <w:sz w:val="32"/>
          <w:szCs w:val="32"/>
        </w:rPr>
        <w:t>项目专业性有待进一步提升。项目过多的工作呈现在下午五点半课程，虽然也部分解决了家庭问题，但不能回应家庭教育中亲子、亲职关系的主题；个案工作以作业辅导、部分的心理疏导为主，家庭教育中的专业技巧对家庭关系的介入</w:t>
      </w:r>
      <w:r>
        <w:rPr>
          <w:rFonts w:hint="eastAsia"/>
          <w:kern w:val="2"/>
          <w:sz w:val="32"/>
          <w:szCs w:val="32"/>
        </w:rPr>
        <w:t>较少</w:t>
      </w:r>
      <w:r>
        <w:rPr>
          <w:kern w:val="2"/>
          <w:sz w:val="32"/>
          <w:szCs w:val="32"/>
        </w:rPr>
        <w:t>。</w:t>
      </w:r>
    </w:p>
    <w:p>
      <w:pPr>
        <w:adjustRightInd w:val="0"/>
        <w:snapToGrid w:val="0"/>
        <w:spacing w:line="600" w:lineRule="exact"/>
        <w:ind w:firstLine="481" w:firstLineChars="150"/>
        <w:rPr>
          <w:rFonts w:ascii="楷体_GB2312" w:eastAsia="楷体_GB2312"/>
          <w:b/>
          <w:sz w:val="32"/>
          <w:szCs w:val="32"/>
          <w:lang w:val="zh-CN"/>
        </w:rPr>
      </w:pPr>
      <w:r>
        <w:rPr>
          <w:rFonts w:hint="eastAsia" w:ascii="楷体_GB2312" w:eastAsia="楷体_GB2312"/>
          <w:b/>
          <w:sz w:val="32"/>
          <w:szCs w:val="32"/>
          <w:lang w:val="zh-CN"/>
        </w:rPr>
        <w:t>（</w:t>
      </w:r>
      <w:r>
        <w:rPr>
          <w:rFonts w:ascii="楷体_GB2312" w:eastAsia="楷体_GB2312"/>
          <w:b/>
          <w:sz w:val="32"/>
          <w:szCs w:val="32"/>
        </w:rPr>
        <w:t>二</w:t>
      </w:r>
      <w:r>
        <w:rPr>
          <w:rFonts w:hint="eastAsia" w:ascii="楷体_GB2312" w:eastAsia="楷体_GB2312"/>
          <w:b/>
          <w:sz w:val="32"/>
          <w:szCs w:val="32"/>
          <w:lang w:val="zh-CN"/>
        </w:rPr>
        <w:t>）相关建议</w:t>
      </w:r>
    </w:p>
    <w:p>
      <w:pPr>
        <w:pStyle w:val="5"/>
        <w:spacing w:before="93" w:line="576" w:lineRule="exact"/>
        <w:ind w:firstLine="640" w:firstLineChars="200"/>
        <w:rPr>
          <w:kern w:val="2"/>
          <w:sz w:val="32"/>
          <w:szCs w:val="32"/>
        </w:rPr>
      </w:pPr>
      <w:r>
        <w:rPr>
          <w:kern w:val="2"/>
          <w:sz w:val="32"/>
          <w:szCs w:val="32"/>
        </w:rPr>
        <w:t>提升项目专业性。建议项目多多回应家庭教育中亲子、亲职关系的主题；建议小组工作增加家长与孩子共同参加的小组；个案工作建议采用家庭教育中的专业技巧对家庭关系进行介入。</w:t>
      </w:r>
      <w:r>
        <w:rPr>
          <w:rFonts w:hint="eastAsia"/>
          <w:kern w:val="2"/>
          <w:sz w:val="32"/>
          <w:szCs w:val="32"/>
        </w:rPr>
        <w:t>综上，承接方已经按照要求及时整改。</w:t>
      </w:r>
    </w:p>
    <w:p/>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684"/>
        <w:gridCol w:w="142"/>
        <w:gridCol w:w="992"/>
        <w:gridCol w:w="959"/>
        <w:gridCol w:w="33"/>
        <w:gridCol w:w="567"/>
        <w:gridCol w:w="1813"/>
        <w:gridCol w:w="597"/>
        <w:gridCol w:w="1812"/>
        <w:gridCol w:w="236"/>
      </w:tblGrid>
      <w:tr>
        <w:tblPrEx>
          <w:tblCellMar>
            <w:top w:w="0" w:type="dxa"/>
            <w:left w:w="108" w:type="dxa"/>
            <w:bottom w:w="0" w:type="dxa"/>
            <w:right w:w="108" w:type="dxa"/>
          </w:tblCellMar>
        </w:tblPrEx>
        <w:trPr>
          <w:trHeight w:val="675" w:hRule="atLeast"/>
        </w:trPr>
        <w:tc>
          <w:tcPr>
            <w:tcW w:w="9575" w:type="dxa"/>
            <w:gridSpan w:val="10"/>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2021年部门预算项目绩效目标自评</w:t>
            </w:r>
          </w:p>
          <w:p>
            <w:pPr>
              <w:spacing w:line="600" w:lineRule="exact"/>
              <w:jc w:val="center"/>
              <w:rPr>
                <w:rFonts w:ascii="楷体_GB2312" w:hAnsi="宋体" w:eastAsia="楷体_GB2312"/>
                <w:b/>
                <w:bCs/>
                <w:sz w:val="32"/>
                <w:szCs w:val="32"/>
              </w:rPr>
            </w:pPr>
            <w:r>
              <w:rPr>
                <w:rFonts w:hint="eastAsia" w:ascii="楷体_GB2312" w:hAnsi="华文仿宋" w:eastAsia="楷体_GB2312" w:cs="华文仿宋"/>
                <w:b/>
                <w:bCs/>
                <w:sz w:val="32"/>
                <w:szCs w:val="32"/>
              </w:rPr>
              <w:t>（四川省妇女儿童事业发展专项资金）</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26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69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仿宋_GB2312" w:eastAsia="仿宋_GB2312" w:cs="宋体"/>
                <w:sz w:val="28"/>
                <w:szCs w:val="28"/>
              </w:rPr>
              <w:t>118101</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州妇联</w:t>
            </w:r>
          </w:p>
        </w:tc>
      </w:tr>
      <w:tr>
        <w:tblPrEx>
          <w:tblCellMar>
            <w:top w:w="0" w:type="dxa"/>
            <w:left w:w="108" w:type="dxa"/>
            <w:bottom w:w="0" w:type="dxa"/>
            <w:right w:w="108" w:type="dxa"/>
          </w:tblCellMar>
        </w:tblPrEx>
        <w:trPr>
          <w:gridAfter w:val="1"/>
          <w:wAfter w:w="236" w:type="dxa"/>
          <w:trHeight w:val="341" w:hRule="atLeast"/>
        </w:trPr>
        <w:tc>
          <w:tcPr>
            <w:tcW w:w="2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20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 xml:space="preserve">8 </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仿宋_GB2312" w:hAnsi="仿宋_GB2312" w:cs="仿宋_GB2312"/>
                <w:szCs w:val="21"/>
              </w:rPr>
              <w:t>8</w:t>
            </w:r>
            <w:r>
              <w:rPr>
                <w:rFonts w:ascii="宋体" w:cs="宋体"/>
                <w:sz w:val="24"/>
              </w:rPr>
              <w:t xml:space="preserve"> </w:t>
            </w:r>
          </w:p>
        </w:tc>
      </w:tr>
      <w:tr>
        <w:trPr>
          <w:gridAfter w:val="1"/>
          <w:wAfter w:w="236" w:type="dxa"/>
          <w:trHeight w:val="555" w:hRule="atLeast"/>
        </w:trPr>
        <w:tc>
          <w:tcPr>
            <w:tcW w:w="2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20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其中：财政拨款</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宋体" w:cs="宋体"/>
                <w:sz w:val="24"/>
              </w:rPr>
              <w:t xml:space="preserve">8 </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其中：财政拨款</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ascii="仿宋_GB2312" w:hAnsi="仿宋_GB2312" w:cs="仿宋_GB2312"/>
                <w:szCs w:val="21"/>
              </w:rPr>
              <w:t>8</w:t>
            </w:r>
            <w:r>
              <w:rPr>
                <w:rFonts w:ascii="宋体" w:cs="宋体"/>
                <w:sz w:val="24"/>
              </w:rPr>
              <w:t xml:space="preserve"> </w:t>
            </w:r>
          </w:p>
        </w:tc>
      </w:tr>
      <w:tr>
        <w:tblPrEx>
          <w:tblCellMar>
            <w:top w:w="0" w:type="dxa"/>
            <w:left w:w="108" w:type="dxa"/>
            <w:bottom w:w="0" w:type="dxa"/>
            <w:right w:w="108" w:type="dxa"/>
          </w:tblCellMar>
        </w:tblPrEx>
        <w:trPr>
          <w:gridAfter w:val="1"/>
          <w:wAfter w:w="236" w:type="dxa"/>
          <w:trHeight w:val="341" w:hRule="atLeast"/>
        </w:trPr>
        <w:tc>
          <w:tcPr>
            <w:tcW w:w="2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20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年度总体目标</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完成情况</w:t>
            </w:r>
          </w:p>
        </w:tc>
        <w:tc>
          <w:tcPr>
            <w:tcW w:w="28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478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2810" w:type="dxa"/>
            <w:gridSpan w:val="5"/>
            <w:tcBorders>
              <w:top w:val="single" w:color="000000" w:sz="4" w:space="0"/>
              <w:left w:val="single" w:color="000000" w:sz="4" w:space="0"/>
              <w:bottom w:val="single" w:color="000000" w:sz="4" w:space="0"/>
              <w:right w:val="single" w:color="000000" w:sz="4" w:space="0"/>
            </w:tcBorders>
            <w:shd w:val="clear" w:color="auto" w:fill="auto"/>
            <w:noWrap/>
          </w:tcPr>
          <w:p>
            <w:pPr>
              <w:pStyle w:val="35"/>
              <w:spacing w:line="400" w:lineRule="exact"/>
              <w:jc w:val="center"/>
              <w:rPr>
                <w:rFonts w:hint="eastAsia" w:ascii="宋体" w:cs="宋体"/>
                <w:color w:val="auto"/>
                <w:sz w:val="24"/>
                <w:szCs w:val="24"/>
                <w:lang w:val="en-US"/>
              </w:rPr>
            </w:pPr>
            <w:r>
              <w:rPr>
                <w:rFonts w:hint="eastAsia" w:ascii="宋体" w:cs="宋体"/>
                <w:color w:val="auto"/>
                <w:sz w:val="24"/>
                <w:szCs w:val="24"/>
                <w:lang w:val="en-US"/>
              </w:rPr>
              <w:t>阿坝州妇联在马尔康市达萨社区</w:t>
            </w:r>
          </w:p>
          <w:p>
            <w:pPr>
              <w:pStyle w:val="35"/>
              <w:spacing w:line="400" w:lineRule="exact"/>
              <w:jc w:val="center"/>
              <w:rPr>
                <w:rFonts w:hint="eastAsia"/>
              </w:rPr>
            </w:pPr>
            <w:r>
              <w:rPr>
                <w:rFonts w:ascii="宋体" w:cs="宋体"/>
                <w:color w:val="auto"/>
                <w:sz w:val="24"/>
              </w:rPr>
              <w:t>实施</w:t>
            </w:r>
            <w:r>
              <w:rPr>
                <w:rFonts w:hint="eastAsia" w:ascii="宋体" w:cs="宋体"/>
                <w:color w:val="auto"/>
                <w:sz w:val="24"/>
              </w:rPr>
              <w:t>家庭教育指导服务项目。</w:t>
            </w:r>
            <w:r>
              <w:rPr>
                <w:rFonts w:hint="eastAsia" w:ascii="宋体" w:cs="宋体"/>
                <w:color w:val="auto"/>
                <w:sz w:val="24"/>
                <w:szCs w:val="24"/>
                <w:lang w:val="en-US"/>
              </w:rPr>
              <w:t>该项目由阿坝州友邦社会工作服务中心承接，周期为8个月</w:t>
            </w:r>
            <w:r>
              <w:rPr>
                <w:rFonts w:ascii="宋体" w:cs="宋体"/>
                <w:color w:val="auto"/>
                <w:sz w:val="24"/>
                <w:szCs w:val="24"/>
                <w:lang w:val="en-US"/>
              </w:rPr>
              <w:t>，</w:t>
            </w:r>
            <w:r>
              <w:rPr>
                <w:rFonts w:hint="eastAsia" w:ascii="宋体" w:cs="宋体"/>
                <w:color w:val="auto"/>
                <w:sz w:val="24"/>
                <w:szCs w:val="24"/>
                <w:lang w:val="en-US"/>
              </w:rPr>
              <w:t>包括：“五点半家庭教育课堂”、专题讲座、小组活动、亲子活动、个案服务</w:t>
            </w:r>
            <w:r>
              <w:rPr>
                <w:rFonts w:hint="eastAsia"/>
              </w:rPr>
              <w:t>。</w:t>
            </w:r>
          </w:p>
          <w:p>
            <w:pPr>
              <w:widowControl/>
              <w:spacing w:line="320" w:lineRule="exact"/>
              <w:jc w:val="center"/>
              <w:textAlignment w:val="top"/>
              <w:rPr>
                <w:rFonts w:ascii="宋体" w:cs="宋体"/>
                <w:sz w:val="24"/>
              </w:rPr>
            </w:pPr>
          </w:p>
        </w:tc>
        <w:tc>
          <w:tcPr>
            <w:tcW w:w="4789" w:type="dxa"/>
            <w:gridSpan w:val="4"/>
            <w:tcBorders>
              <w:top w:val="single" w:color="000000" w:sz="4" w:space="0"/>
              <w:left w:val="single" w:color="000000" w:sz="4" w:space="0"/>
              <w:bottom w:val="single" w:color="000000" w:sz="4" w:space="0"/>
              <w:right w:val="single" w:color="000000" w:sz="4" w:space="0"/>
            </w:tcBorders>
            <w:shd w:val="clear" w:color="auto" w:fill="auto"/>
            <w:noWrap/>
          </w:tcPr>
          <w:p>
            <w:pPr>
              <w:pStyle w:val="35"/>
              <w:spacing w:line="400" w:lineRule="exact"/>
              <w:jc w:val="center"/>
              <w:rPr>
                <w:rFonts w:hint="eastAsia" w:ascii="宋体" w:cs="宋体"/>
                <w:color w:val="auto"/>
                <w:sz w:val="24"/>
                <w:szCs w:val="24"/>
                <w:lang w:val="en-US"/>
              </w:rPr>
            </w:pPr>
            <w:r>
              <w:rPr>
                <w:rFonts w:hint="eastAsia" w:ascii="宋体" w:cs="宋体"/>
                <w:color w:val="auto"/>
                <w:sz w:val="24"/>
                <w:szCs w:val="24"/>
                <w:lang w:val="en-US"/>
              </w:rPr>
              <w:t>阿坝州妇联在马尔康市达萨社区</w:t>
            </w:r>
          </w:p>
          <w:p>
            <w:pPr>
              <w:widowControl/>
              <w:spacing w:line="320" w:lineRule="exact"/>
              <w:jc w:val="center"/>
              <w:textAlignment w:val="top"/>
              <w:rPr>
                <w:rFonts w:ascii="宋体" w:cs="宋体"/>
                <w:sz w:val="24"/>
              </w:rPr>
            </w:pPr>
            <w:r>
              <w:rPr>
                <w:rFonts w:ascii="宋体" w:cs="宋体"/>
                <w:kern w:val="0"/>
                <w:sz w:val="24"/>
              </w:rPr>
              <w:t>实施</w:t>
            </w:r>
            <w:r>
              <w:rPr>
                <w:rFonts w:hint="eastAsia" w:ascii="宋体" w:cs="宋体"/>
                <w:kern w:val="0"/>
                <w:sz w:val="24"/>
              </w:rPr>
              <w:t>家庭教育指导服务项目。</w:t>
            </w:r>
            <w:r>
              <w:rPr>
                <w:rFonts w:hint="eastAsia" w:ascii="宋体" w:cs="宋体"/>
                <w:sz w:val="24"/>
              </w:rPr>
              <w:t>该项目由阿坝州友邦社会工作服务中心承接，周期为8个月</w:t>
            </w:r>
            <w:r>
              <w:rPr>
                <w:rFonts w:ascii="宋体" w:cs="宋体"/>
                <w:sz w:val="24"/>
              </w:rPr>
              <w:t>，</w:t>
            </w:r>
            <w:r>
              <w:rPr>
                <w:rFonts w:hint="eastAsia" w:ascii="宋体" w:cs="宋体"/>
                <w:sz w:val="24"/>
              </w:rPr>
              <w:t>包括：“五点半家庭教育课堂”、专题讲座、小组活动、亲子活动、个案服务</w:t>
            </w:r>
            <w:r>
              <w:rPr>
                <w:rFonts w:hint="eastAsia"/>
              </w:rPr>
              <w:t>。</w:t>
            </w:r>
          </w:p>
        </w:tc>
      </w:tr>
      <w:tr>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826"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持续时间</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8个月</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8个月</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活动内容</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“五点半家庭教育课堂”、专题讲座、小组活动、亲子活动、个案服务</w:t>
            </w:r>
            <w:r>
              <w:rPr>
                <w:rFonts w:ascii="宋体" w:cs="宋体"/>
                <w:sz w:val="24"/>
              </w:rPr>
              <w:t>。</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“五点半家庭教育课堂”、专题讲座、小组活动、亲子活动、个案服务</w:t>
            </w:r>
            <w:r>
              <w:rPr>
                <w:rFonts w:ascii="宋体" w:cs="宋体"/>
                <w:sz w:val="24"/>
              </w:rPr>
              <w:t>。</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2021年12月前完成</w:t>
            </w:r>
          </w:p>
        </w:tc>
      </w:tr>
      <w:tr>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项目资金</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8万元</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8万元</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家庭教育</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家庭教育指导</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为贯彻落实习近平总书记“注重家庭、注重家教、注重家风”的重要指示精神，推进家庭文明建设，加强家庭教育体系建设和指导服务。</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pPr>
          </w:p>
        </w:tc>
        <w:tc>
          <w:tcPr>
            <w:tcW w:w="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未成年人关爱</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促进未成年人健康成长</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cs="宋体"/>
                <w:sz w:val="24"/>
              </w:rPr>
              <w:t>为培养中国特色社会主义事业合格建设者和接班人打下坚实基础</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受益群众满意度</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100%</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100%</w:t>
            </w:r>
          </w:p>
        </w:tc>
      </w:tr>
    </w:tbl>
    <w:p>
      <w:pPr>
        <w:jc w:val="center"/>
      </w:pPr>
    </w:p>
    <w:p>
      <w:pPr>
        <w:tabs>
          <w:tab w:val="left" w:pos="1440"/>
        </w:tabs>
        <w:spacing w:line="560" w:lineRule="exact"/>
        <w:rPr>
          <w:rFonts w:ascii="宋体" w:hAnsi="宋体"/>
          <w:sz w:val="30"/>
          <w:szCs w:val="30"/>
        </w:rPr>
      </w:pPr>
    </w:p>
    <w:p>
      <w:pPr>
        <w:pStyle w:val="35"/>
        <w:spacing w:line="560" w:lineRule="exact"/>
        <w:jc w:val="center"/>
        <w:rPr>
          <w:rFonts w:ascii="华文仿宋" w:hAnsi="华文仿宋" w:eastAsia="华文仿宋" w:cs="华文仿宋"/>
          <w:sz w:val="24"/>
          <w:szCs w:val="24"/>
        </w:rPr>
      </w:pPr>
      <w:r>
        <w:rPr>
          <w:rFonts w:hint="eastAsia" w:ascii="方正小标宋简体" w:hAnsi="宋体" w:eastAsia="方正小标宋简体"/>
          <w:sz w:val="44"/>
          <w:szCs w:val="44"/>
          <w:lang w:val="en-US"/>
        </w:rPr>
        <w:t>2021年</w:t>
      </w:r>
      <w:r>
        <w:rPr>
          <w:rFonts w:hint="eastAsia" w:ascii="方正小标宋简体" w:hAnsi="宋体" w:eastAsia="方正小标宋简体"/>
          <w:sz w:val="44"/>
          <w:szCs w:val="44"/>
        </w:rPr>
        <w:t>专项预算项目支出绩效自评</w:t>
      </w:r>
      <w:r>
        <w:rPr>
          <w:rFonts w:hint="eastAsia" w:ascii="方正小标宋简体" w:hAnsi="宋体" w:eastAsia="方正小标宋简体"/>
          <w:sz w:val="44"/>
          <w:szCs w:val="44"/>
          <w:lang w:val="en-US"/>
        </w:rPr>
        <w:t>报告</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（妇女儿童宣传经费项目）</w:t>
      </w:r>
    </w:p>
    <w:p>
      <w:pPr>
        <w:pStyle w:val="35"/>
        <w:spacing w:line="600" w:lineRule="exact"/>
        <w:ind w:firstLine="640"/>
        <w:jc w:val="center"/>
        <w:rPr>
          <w:rFonts w:ascii="宋体" w:hAnsi="宋体"/>
          <w:color w:val="auto"/>
          <w:kern w:val="2"/>
          <w:sz w:val="32"/>
          <w:szCs w:val="32"/>
        </w:rPr>
      </w:pPr>
    </w:p>
    <w:p>
      <w:pPr>
        <w:adjustRightInd w:val="0"/>
        <w:snapToGrid w:val="0"/>
        <w:spacing w:line="600" w:lineRule="exact"/>
        <w:ind w:firstLine="720"/>
        <w:rPr>
          <w:rFonts w:ascii="黑体" w:eastAsia="黑体"/>
          <w:sz w:val="32"/>
          <w:szCs w:val="32"/>
        </w:rPr>
      </w:pPr>
      <w:r>
        <w:rPr>
          <w:rFonts w:hint="eastAsia" w:ascii="黑体" w:eastAsia="黑体"/>
          <w:sz w:val="32"/>
          <w:szCs w:val="32"/>
        </w:rPr>
        <w:t>一、项目概况</w:t>
      </w:r>
    </w:p>
    <w:p>
      <w:pPr>
        <w:adjustRightInd w:val="0"/>
        <w:snapToGrid w:val="0"/>
        <w:spacing w:line="560" w:lineRule="exact"/>
        <w:ind w:firstLine="720"/>
        <w:rPr>
          <w:rFonts w:ascii="仿宋_GB2312" w:hAnsi="宋体" w:eastAsia="仿宋_GB2312"/>
          <w:sz w:val="32"/>
          <w:szCs w:val="32"/>
          <w:lang w:val="zh-CN"/>
        </w:rPr>
      </w:pPr>
      <w:r>
        <w:rPr>
          <w:rFonts w:hint="eastAsia" w:ascii="楷体_GB2312" w:eastAsia="楷体_GB2312"/>
          <w:b/>
          <w:sz w:val="32"/>
          <w:szCs w:val="32"/>
          <w:lang w:val="zh-CN"/>
        </w:rPr>
        <w:t>（一）项目资金申报及批复情况。</w:t>
      </w:r>
      <w:r>
        <w:rPr>
          <w:rFonts w:hint="eastAsia" w:ascii="仿宋_GB2312" w:hAnsi="宋体" w:eastAsia="仿宋_GB2312"/>
          <w:sz w:val="32"/>
          <w:szCs w:val="32"/>
          <w:lang w:val="zh-CN"/>
        </w:rPr>
        <w:t>项目申报12万元，批复12万元，符合资金管理办法等相关规定。</w:t>
      </w:r>
    </w:p>
    <w:p>
      <w:pPr>
        <w:adjustRightInd w:val="0"/>
        <w:snapToGrid w:val="0"/>
        <w:spacing w:line="576" w:lineRule="exact"/>
        <w:ind w:firstLine="642" w:firstLineChars="200"/>
        <w:rPr>
          <w:rFonts w:ascii="仿宋_GB2312" w:hAnsi="宋体" w:eastAsia="仿宋_GB2312"/>
          <w:sz w:val="32"/>
          <w:szCs w:val="32"/>
          <w:lang w:val="zh-CN"/>
        </w:rPr>
      </w:pPr>
      <w:r>
        <w:rPr>
          <w:rFonts w:hint="eastAsia" w:ascii="楷体_GB2312" w:eastAsia="楷体_GB2312"/>
          <w:b/>
          <w:sz w:val="32"/>
          <w:szCs w:val="32"/>
          <w:lang w:val="zh-CN"/>
        </w:rPr>
        <w:t>（二）项目绩效目标。</w:t>
      </w:r>
      <w:r>
        <w:rPr>
          <w:rFonts w:hint="eastAsia" w:ascii="仿宋_GB2312" w:hAnsi="宋体" w:eastAsia="仿宋_GB2312"/>
          <w:sz w:val="32"/>
          <w:szCs w:val="32"/>
          <w:lang w:val="zh-CN"/>
        </w:rPr>
        <w:t>线上围绕妇女群众关注点，运营维护州妇联官方公众号“花开阿坝”，利用平台设置话题，引导讨论；线下结合“禁毒日”“网络宣传安全周”等重要宣传节点，广泛开展宣讲，订制宣传资料，亮出阿坝妇联宣传品牌；征订中国妇女报和《中国妇女》等报刊</w:t>
      </w:r>
      <w:r>
        <w:rPr>
          <w:rFonts w:ascii="仿宋_GB2312" w:hAnsi="宋体" w:eastAsia="仿宋_GB2312"/>
          <w:sz w:val="32"/>
          <w:szCs w:val="32"/>
          <w:lang w:val="zh-CN"/>
        </w:rPr>
        <w:t>杂志</w:t>
      </w:r>
      <w:r>
        <w:rPr>
          <w:rFonts w:hint="eastAsia" w:ascii="仿宋_GB2312" w:hAnsi="宋体" w:eastAsia="仿宋_GB2312"/>
          <w:sz w:val="32"/>
          <w:szCs w:val="32"/>
          <w:lang w:val="zh-CN"/>
        </w:rPr>
        <w:t>，做好妇女宣传</w:t>
      </w:r>
      <w:r>
        <w:rPr>
          <w:rFonts w:ascii="仿宋_GB2312" w:hAnsi="宋体" w:eastAsia="仿宋_GB2312"/>
          <w:sz w:val="32"/>
          <w:szCs w:val="32"/>
          <w:lang w:val="zh-CN"/>
        </w:rPr>
        <w:t>舆论</w:t>
      </w:r>
      <w:r>
        <w:rPr>
          <w:rFonts w:hint="eastAsia" w:ascii="仿宋_GB2312" w:hAnsi="宋体" w:eastAsia="仿宋_GB2312"/>
          <w:sz w:val="32"/>
          <w:szCs w:val="32"/>
          <w:lang w:val="zh-CN"/>
        </w:rPr>
        <w:t>阵地建设，强化妇女思想政治引领。</w:t>
      </w:r>
    </w:p>
    <w:p>
      <w:pPr>
        <w:adjustRightInd w:val="0"/>
        <w:snapToGrid w:val="0"/>
        <w:spacing w:line="560" w:lineRule="exact"/>
        <w:ind w:firstLine="720"/>
        <w:rPr>
          <w:rFonts w:ascii="仿宋_GB2312" w:hAnsi="宋体" w:eastAsia="仿宋_GB2312"/>
          <w:sz w:val="32"/>
          <w:szCs w:val="32"/>
          <w:lang w:val="zh-CN"/>
        </w:rPr>
      </w:pPr>
      <w:r>
        <w:rPr>
          <w:rFonts w:hint="eastAsia" w:ascii="楷体_GB2312" w:eastAsia="楷体_GB2312"/>
          <w:b/>
          <w:sz w:val="32"/>
          <w:szCs w:val="32"/>
          <w:lang w:val="zh-CN"/>
        </w:rPr>
        <w:t>（三）项目资金申报相符性。</w:t>
      </w:r>
      <w:r>
        <w:rPr>
          <w:rFonts w:hint="eastAsia" w:ascii="仿宋_GB2312" w:hAnsi="宋体" w:eastAsia="仿宋_GB2312"/>
          <w:sz w:val="32"/>
          <w:szCs w:val="32"/>
          <w:lang w:val="zh-CN"/>
        </w:rPr>
        <w:t>项目申报内容与具体实施内容相符、申报目标合理可行。</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eastAsia="楷体_GB2312"/>
          <w:b/>
          <w:sz w:val="32"/>
          <w:szCs w:val="32"/>
          <w:lang w:val="zh-CN"/>
        </w:rPr>
        <w:t>（一）资金计划、到位及使用情况。</w:t>
      </w:r>
    </w:p>
    <w:p>
      <w:pPr>
        <w:adjustRightInd w:val="0"/>
        <w:snapToGrid w:val="0"/>
        <w:spacing w:line="560" w:lineRule="exact"/>
        <w:ind w:firstLine="720"/>
        <w:rPr>
          <w:rFonts w:ascii="仿宋_GB2312" w:eastAsia="仿宋_GB2312"/>
          <w:sz w:val="32"/>
          <w:szCs w:val="32"/>
        </w:rPr>
      </w:pPr>
      <w:r>
        <w:rPr>
          <w:rFonts w:hint="eastAsia" w:ascii="仿宋_GB2312" w:eastAsia="仿宋_GB2312"/>
          <w:b/>
          <w:sz w:val="32"/>
          <w:szCs w:val="32"/>
        </w:rPr>
        <w:t>1．资金计划及到位。</w:t>
      </w:r>
      <w:r>
        <w:rPr>
          <w:rFonts w:hint="eastAsia" w:ascii="仿宋_GB2312" w:eastAsia="仿宋_GB2312"/>
          <w:sz w:val="32"/>
          <w:szCs w:val="32"/>
        </w:rPr>
        <w:t>2021年，州妇联妇女儿童宣传经费下达指标120000元，全额到位、到位及时。</w:t>
      </w:r>
    </w:p>
    <w:p>
      <w:pPr>
        <w:adjustRightInd w:val="0"/>
        <w:snapToGrid w:val="0"/>
        <w:spacing w:line="560" w:lineRule="exact"/>
        <w:ind w:firstLine="720"/>
        <w:rPr>
          <w:rFonts w:ascii="仿宋_GB2312" w:eastAsia="仿宋_GB2312"/>
          <w:sz w:val="32"/>
          <w:szCs w:val="32"/>
        </w:rPr>
      </w:pPr>
      <w:r>
        <w:rPr>
          <w:rFonts w:hint="eastAsia" w:ascii="仿宋_GB2312" w:eastAsia="仿宋_GB2312"/>
          <w:b/>
          <w:sz w:val="32"/>
          <w:szCs w:val="32"/>
        </w:rPr>
        <w:t>2．资金使用。</w:t>
      </w:r>
      <w:r>
        <w:rPr>
          <w:rFonts w:hint="eastAsia" w:ascii="仿宋_GB2312" w:eastAsia="仿宋_GB2312"/>
          <w:sz w:val="32"/>
          <w:szCs w:val="32"/>
        </w:rPr>
        <w:t>截止评价时点，项目资金中8万元用于支付阿坝州妇联微信公众号“花开阿坝”新媒体官方账号及抖音官方账号运营维护经费，4万元用于日常开展宣传宣讲、妇女儿童关心关爱活动。</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（二）项目财务管理情况。</w:t>
      </w:r>
    </w:p>
    <w:p>
      <w:pPr>
        <w:snapToGrid w:val="0"/>
        <w:spacing w:line="600" w:lineRule="exact"/>
        <w:ind w:firstLine="405"/>
        <w:rPr>
          <w:rFonts w:ascii="仿宋_GB2312" w:eastAsia="仿宋_GB2312"/>
          <w:sz w:val="32"/>
          <w:szCs w:val="32"/>
        </w:rPr>
      </w:pPr>
      <w:r>
        <w:rPr>
          <w:rFonts w:hint="eastAsia" w:ascii="仿宋_GB2312" w:eastAsia="仿宋_GB2312"/>
          <w:sz w:val="32"/>
          <w:szCs w:val="32"/>
        </w:rPr>
        <w:t>项目绩效目标编制要素完整，绩效指标做到了细化量化。年初项目绩效目标编制科学准确，项目实际完成度高，与预期绩效目标偏离度小，实际完成达到了预期指标。年初预算数与决算数完全一致。</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（三）项目组织实施情况。</w:t>
      </w:r>
    </w:p>
    <w:p>
      <w:pPr>
        <w:snapToGrid w:val="0"/>
        <w:spacing w:line="600" w:lineRule="exact"/>
        <w:ind w:firstLine="405"/>
        <w:rPr>
          <w:rFonts w:ascii="仿宋_GB2312" w:eastAsia="仿宋_GB2312"/>
          <w:sz w:val="32"/>
          <w:szCs w:val="32"/>
        </w:rPr>
      </w:pPr>
      <w:r>
        <w:rPr>
          <w:rFonts w:hint="eastAsia" w:ascii="仿宋_GB2312" w:eastAsia="仿宋_GB2312"/>
          <w:sz w:val="32"/>
          <w:szCs w:val="32"/>
        </w:rPr>
        <w:t>根据省妇联建设“互联网+”要求，加强新形势下新媒体工作，牢牢把握妇女在网上阵地的舆论引导作用，积极宣传涉及妇女儿童民生、合法权利维护等政策法规，州妇联组宣部按照财政相关规定编制了本项项目支出预算。</w:t>
      </w:r>
      <w:r>
        <w:rPr>
          <w:rFonts w:ascii="仿宋_GB2312" w:eastAsia="仿宋_GB2312"/>
          <w:sz w:val="32"/>
          <w:szCs w:val="32"/>
        </w:rPr>
        <w:t>项</w:t>
      </w:r>
      <w:r>
        <w:rPr>
          <w:rFonts w:hint="eastAsia" w:ascii="仿宋_GB2312" w:eastAsia="仿宋_GB2312"/>
          <w:sz w:val="32"/>
          <w:szCs w:val="32"/>
        </w:rPr>
        <w:t>目有实施方案，有具体计划，有细化组成。组织机构健全，职责分工明确。各项工作均属延续开展，前期有基础，有经验总结，资金能够足额保障。</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三、项目绩效情况</w:t>
      </w:r>
      <w:r>
        <w:rPr>
          <w:rFonts w:hint="eastAsia" w:ascii="黑体" w:eastAsia="黑体"/>
          <w:sz w:val="32"/>
          <w:szCs w:val="32"/>
        </w:rPr>
        <w:tab/>
      </w:r>
    </w:p>
    <w:p>
      <w:pPr>
        <w:snapToGrid w:val="0"/>
        <w:spacing w:line="600"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（一）项目完成及效益情况。</w:t>
      </w:r>
    </w:p>
    <w:p>
      <w:pPr>
        <w:snapToGrid w:val="0"/>
        <w:spacing w:line="600" w:lineRule="exact"/>
        <w:ind w:firstLine="640" w:firstLineChars="200"/>
        <w:rPr>
          <w:rFonts w:ascii="仿宋_GB2312" w:eastAsia="仿宋_GB2312"/>
          <w:sz w:val="32"/>
          <w:szCs w:val="32"/>
        </w:rPr>
      </w:pPr>
      <w:r>
        <w:rPr>
          <w:rFonts w:hint="eastAsia" w:ascii="仿宋_GB2312" w:hAnsi="宋体" w:eastAsia="仿宋_GB2312" w:cs="宋体"/>
          <w:kern w:val="0"/>
          <w:sz w:val="32"/>
          <w:szCs w:val="32"/>
          <w:lang w:val="zh-CN"/>
        </w:rPr>
        <w:t>项目</w:t>
      </w:r>
      <w:r>
        <w:rPr>
          <w:rFonts w:hint="eastAsia" w:ascii="仿宋_GB2312" w:hAnsi="宋体" w:eastAsia="仿宋_GB2312" w:cs="宋体"/>
          <w:kern w:val="0"/>
          <w:sz w:val="32"/>
          <w:szCs w:val="32"/>
        </w:rPr>
        <w:t>已</w:t>
      </w:r>
      <w:r>
        <w:rPr>
          <w:rFonts w:hint="eastAsia" w:ascii="仿宋_GB2312" w:hAnsi="宋体" w:eastAsia="仿宋_GB2312" w:cs="宋体"/>
          <w:kern w:val="0"/>
          <w:sz w:val="32"/>
          <w:szCs w:val="32"/>
          <w:lang w:val="zh-CN"/>
        </w:rPr>
        <w:t>完成了预期指标值，</w:t>
      </w:r>
      <w:r>
        <w:rPr>
          <w:rFonts w:hint="eastAsia" w:ascii="仿宋_GB2312" w:hAnsi="宋体" w:eastAsia="仿宋_GB2312" w:cs="宋体"/>
          <w:kern w:val="0"/>
          <w:sz w:val="32"/>
          <w:szCs w:val="32"/>
        </w:rPr>
        <w:t>达到了预期目的。</w:t>
      </w:r>
      <w:r>
        <w:rPr>
          <w:rFonts w:hint="eastAsia" w:ascii="仿宋_GB2312" w:hAnsi="仿宋_GB2312" w:eastAsia="仿宋_GB2312" w:cs="仿宋_GB2312"/>
          <w:sz w:val="32"/>
          <w:szCs w:val="32"/>
        </w:rPr>
        <w:t>2021年全年在“花开阿坝”发布信息</w:t>
      </w:r>
      <w:r>
        <w:rPr>
          <w:rFonts w:hint="eastAsia" w:ascii="仿宋_GB2312" w:eastAsia="仿宋_GB2312"/>
          <w:sz w:val="32"/>
          <w:szCs w:val="32"/>
        </w:rPr>
        <w:t>101期329条，阅读量51万，开设“巾帼心向党·百年正辉煌——党的女儿”“巾帼心向党·奋斗新征程”“我为群众办实事”“破难行动”等专栏，宣传全州妇联改革成果和优秀妇女典型、普及法律常识等。项目让更多妇女儿童丰富自身维权意识，提升广大妇女儿童的精神文化素质，其意义长远。</w:t>
      </w:r>
    </w:p>
    <w:p>
      <w:pPr>
        <w:adjustRightInd w:val="0"/>
        <w:snapToGrid w:val="0"/>
        <w:spacing w:line="600" w:lineRule="exact"/>
        <w:ind w:firstLine="720"/>
        <w:rPr>
          <w:rFonts w:ascii="黑体" w:eastAsia="黑体"/>
          <w:sz w:val="32"/>
          <w:szCs w:val="32"/>
        </w:rPr>
      </w:pPr>
      <w:r>
        <w:rPr>
          <w:rFonts w:hint="eastAsia" w:ascii="黑体" w:eastAsia="黑体"/>
          <w:sz w:val="32"/>
          <w:szCs w:val="32"/>
        </w:rPr>
        <w:t>四、存在主要问题</w:t>
      </w:r>
    </w:p>
    <w:p>
      <w:pPr>
        <w:snapToGrid w:val="0"/>
        <w:spacing w:line="600" w:lineRule="exact"/>
        <w:ind w:firstLine="405"/>
        <w:rPr>
          <w:rFonts w:ascii="仿宋_GB2312" w:eastAsia="仿宋_GB2312"/>
          <w:sz w:val="32"/>
          <w:szCs w:val="32"/>
        </w:rPr>
      </w:pPr>
      <w:r>
        <w:rPr>
          <w:rFonts w:hint="eastAsia" w:ascii="仿宋_GB2312" w:eastAsia="仿宋_GB2312"/>
          <w:sz w:val="32"/>
          <w:szCs w:val="32"/>
        </w:rPr>
        <w:t>项目执行方在具体操作中主观能动性不够，素材积累少。</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51"/>
        <w:gridCol w:w="25"/>
        <w:gridCol w:w="1534"/>
        <w:gridCol w:w="1243"/>
        <w:gridCol w:w="175"/>
        <w:gridCol w:w="1417"/>
        <w:gridCol w:w="1276"/>
        <w:gridCol w:w="284"/>
        <w:gridCol w:w="1670"/>
        <w:gridCol w:w="236"/>
      </w:tblGrid>
      <w:tr>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2021年部门预算项目绩效目标自评</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（妇女儿童宣传经费项目）</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1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主管部门及代码</w:t>
            </w:r>
          </w:p>
        </w:tc>
        <w:tc>
          <w:tcPr>
            <w:tcW w:w="43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118101</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实施单位</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州妇联</w:t>
            </w:r>
          </w:p>
        </w:tc>
      </w:tr>
      <w:tr>
        <w:tblPrEx>
          <w:tblCellMar>
            <w:top w:w="0" w:type="dxa"/>
            <w:left w:w="108" w:type="dxa"/>
            <w:bottom w:w="0" w:type="dxa"/>
            <w:right w:w="108" w:type="dxa"/>
          </w:tblCellMar>
        </w:tblPrEx>
        <w:trPr>
          <w:gridAfter w:val="1"/>
          <w:wAfter w:w="236" w:type="dxa"/>
          <w:trHeight w:val="341" w:hRule="atLeast"/>
        </w:trPr>
        <w:tc>
          <w:tcPr>
            <w:tcW w:w="19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项目预算</w:t>
            </w:r>
          </w:p>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执行情况</w:t>
            </w:r>
          </w:p>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（万元）</w:t>
            </w:r>
          </w:p>
        </w:tc>
        <w:tc>
          <w:tcPr>
            <w:tcW w:w="28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预算数：</w:t>
            </w:r>
          </w:p>
        </w:tc>
        <w:tc>
          <w:tcPr>
            <w:tcW w:w="15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执行数：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w:t>
            </w:r>
          </w:p>
        </w:tc>
      </w:tr>
      <w:tr>
        <w:tblPrEx>
          <w:tblCellMar>
            <w:top w:w="0" w:type="dxa"/>
            <w:left w:w="108" w:type="dxa"/>
            <w:bottom w:w="0" w:type="dxa"/>
            <w:right w:w="108" w:type="dxa"/>
          </w:tblCellMar>
        </w:tblPrEx>
        <w:trPr>
          <w:gridAfter w:val="1"/>
          <w:wAfter w:w="236" w:type="dxa"/>
          <w:trHeight w:val="555" w:hRule="atLeast"/>
        </w:trPr>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8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15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其中：财政拨款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12</w:t>
            </w:r>
          </w:p>
        </w:tc>
      </w:tr>
      <w:tr>
        <w:tblPrEx>
          <w:tblCellMar>
            <w:top w:w="0" w:type="dxa"/>
            <w:left w:w="108" w:type="dxa"/>
            <w:bottom w:w="0" w:type="dxa"/>
            <w:right w:w="108" w:type="dxa"/>
          </w:tblCellMar>
        </w:tblPrEx>
        <w:trPr>
          <w:gridAfter w:val="1"/>
          <w:wAfter w:w="236" w:type="dxa"/>
          <w:trHeight w:val="341" w:hRule="atLeast"/>
        </w:trPr>
        <w:tc>
          <w:tcPr>
            <w:tcW w:w="19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28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5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0</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其他资金</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sz w:val="28"/>
                <w:szCs w:val="28"/>
              </w:rPr>
              <w:t>0</w:t>
            </w:r>
          </w:p>
        </w:tc>
      </w:tr>
      <w:tr>
        <w:tblPrEx>
          <w:tblCellMar>
            <w:top w:w="0" w:type="dxa"/>
            <w:left w:w="108" w:type="dxa"/>
            <w:bottom w:w="0" w:type="dxa"/>
            <w:right w:w="108" w:type="dxa"/>
          </w:tblCellMar>
        </w:tblPrEx>
        <w:trPr>
          <w:gridAfter w:val="1"/>
          <w:wAfter w:w="236" w:type="dxa"/>
          <w:trHeight w:val="217" w:hRule="atLeast"/>
        </w:trPr>
        <w:tc>
          <w:tcPr>
            <w:tcW w:w="1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8"/>
                <w:szCs w:val="28"/>
              </w:rPr>
            </w:pPr>
            <w:r>
              <w:rPr>
                <w:rFonts w:hint="eastAsia" w:ascii="仿宋_GB2312" w:eastAsia="仿宋_GB2312" w:cs="宋体"/>
                <w:kern w:val="0"/>
                <w:sz w:val="28"/>
                <w:szCs w:val="28"/>
              </w:rPr>
              <w:t>年度总体目标</w:t>
            </w:r>
          </w:p>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完成情况</w:t>
            </w:r>
          </w:p>
        </w:tc>
        <w:tc>
          <w:tcPr>
            <w:tcW w:w="436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预期目标</w:t>
            </w:r>
          </w:p>
        </w:tc>
        <w:tc>
          <w:tcPr>
            <w:tcW w:w="32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8"/>
                <w:szCs w:val="28"/>
              </w:rPr>
            </w:pPr>
            <w:r>
              <w:rPr>
                <w:rFonts w:hint="eastAsia" w:ascii="仿宋_GB2312" w:eastAsia="仿宋_GB2312" w:cs="宋体"/>
                <w:kern w:val="0"/>
                <w:sz w:val="28"/>
                <w:szCs w:val="28"/>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436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“线上线下”开展丰富多彩的宣传活动，日常运营维护公众号“花开阿坝”</w:t>
            </w:r>
          </w:p>
        </w:tc>
        <w:tc>
          <w:tcPr>
            <w:tcW w:w="32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“花开阿坝”发布信息101期329条，阅读量51万，开展日常妇女儿童关爱宣传活动</w:t>
            </w:r>
          </w:p>
        </w:tc>
      </w:tr>
      <w:tr>
        <w:tblPrEx>
          <w:tblCellMar>
            <w:top w:w="0" w:type="dxa"/>
            <w:left w:w="108" w:type="dxa"/>
            <w:bottom w:w="0" w:type="dxa"/>
            <w:right w:w="108" w:type="dxa"/>
          </w:tblCellMar>
        </w:tblPrEx>
        <w:trPr>
          <w:gridAfter w:val="1"/>
          <w:wAfter w:w="236" w:type="dxa"/>
          <w:trHeight w:val="693" w:hRule="atLeast"/>
        </w:trPr>
        <w:tc>
          <w:tcPr>
            <w:tcW w:w="1976" w:type="dxa"/>
            <w:gridSpan w:val="2"/>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534"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三级指标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gridSpan w:val="2"/>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宣传形式</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“线上线下”开展丰富多彩的宣传活动，日常运营维护公众号“花开阿坝”</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“花开阿坝”发布信息101期329条，阅读量51万</w:t>
            </w:r>
          </w:p>
        </w:tc>
      </w:tr>
      <w:tr>
        <w:tblPrEx>
          <w:tblCellMar>
            <w:top w:w="0" w:type="dxa"/>
            <w:left w:w="108" w:type="dxa"/>
            <w:bottom w:w="0" w:type="dxa"/>
            <w:right w:w="108" w:type="dxa"/>
          </w:tblCellMar>
        </w:tblPrEx>
        <w:trPr>
          <w:gridAfter w:val="1"/>
          <w:wAfter w:w="236" w:type="dxa"/>
          <w:trHeight w:val="415" w:hRule="atLeast"/>
        </w:trPr>
        <w:tc>
          <w:tcPr>
            <w:tcW w:w="1976" w:type="dxa"/>
            <w:gridSpan w:val="2"/>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8"/>
                <w:szCs w:val="28"/>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8"/>
                <w:szCs w:val="28"/>
              </w:rPr>
            </w:pP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完成时间</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2022年11月前完成</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完成</w:t>
            </w:r>
          </w:p>
        </w:tc>
      </w:tr>
      <w:tr>
        <w:tblPrEx>
          <w:tblCellMar>
            <w:top w:w="0" w:type="dxa"/>
            <w:left w:w="108" w:type="dxa"/>
            <w:bottom w:w="0" w:type="dxa"/>
            <w:right w:w="108" w:type="dxa"/>
          </w:tblCellMar>
        </w:tblPrEx>
        <w:trPr>
          <w:gridAfter w:val="1"/>
          <w:wAfter w:w="236" w:type="dxa"/>
          <w:trHeight w:val="480" w:hRule="atLeast"/>
        </w:trPr>
        <w:tc>
          <w:tcPr>
            <w:tcW w:w="1976" w:type="dxa"/>
            <w:gridSpan w:val="2"/>
            <w:vMerge w:val="continue"/>
            <w:tcBorders>
              <w:top w:val="nil"/>
              <w:left w:val="single" w:color="000000" w:sz="4" w:space="0"/>
              <w:bottom w:val="single" w:color="auto" w:sz="4" w:space="0"/>
              <w:right w:val="single" w:color="000000" w:sz="4" w:space="0"/>
            </w:tcBorders>
            <w:shd w:val="clear" w:color="auto" w:fill="auto"/>
            <w:noWrap/>
            <w:vAlign w:val="center"/>
          </w:tcPr>
          <w:p>
            <w:pPr>
              <w:jc w:val="center"/>
              <w:rPr>
                <w:rFonts w:ascii="仿宋_GB2312" w:eastAsia="仿宋_GB2312"/>
                <w:sz w:val="28"/>
                <w:szCs w:val="28"/>
              </w:rPr>
            </w:pPr>
          </w:p>
        </w:tc>
        <w:tc>
          <w:tcPr>
            <w:tcW w:w="15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效益指标</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拟达成效</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通过形式多样的思想引领活动，亮出阿坝妇联宣传品牌</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8"/>
                <w:szCs w:val="28"/>
              </w:rPr>
            </w:pPr>
            <w:r>
              <w:rPr>
                <w:rFonts w:hint="eastAsia" w:ascii="仿宋_GB2312" w:eastAsia="仿宋_GB2312" w:cs="宋体"/>
                <w:sz w:val="28"/>
                <w:szCs w:val="28"/>
              </w:rPr>
              <w:t>妇女群众接收度高，互动效应好，妇女群众受益，社会反响好</w:t>
            </w:r>
          </w:p>
        </w:tc>
      </w:tr>
    </w:tbl>
    <w:p>
      <w:pPr>
        <w:pStyle w:val="35"/>
        <w:spacing w:line="560" w:lineRule="exact"/>
        <w:rPr>
          <w:rFonts w:ascii="方正小标宋简体" w:hAnsi="宋体" w:eastAsia="方正小标宋简体"/>
          <w:sz w:val="44"/>
          <w:szCs w:val="44"/>
          <w:lang w:val="en-US"/>
        </w:rPr>
      </w:pPr>
    </w:p>
    <w:p>
      <w:pPr>
        <w:pStyle w:val="35"/>
        <w:spacing w:line="560" w:lineRule="exact"/>
        <w:jc w:val="center"/>
        <w:rPr>
          <w:rFonts w:ascii="华文仿宋" w:hAnsi="华文仿宋" w:eastAsia="华文仿宋" w:cs="华文仿宋"/>
          <w:sz w:val="24"/>
          <w:szCs w:val="24"/>
        </w:rPr>
      </w:pPr>
      <w:r>
        <w:rPr>
          <w:rFonts w:hint="eastAsia" w:ascii="方正小标宋简体" w:hAnsi="宋体" w:eastAsia="方正小标宋简体"/>
          <w:sz w:val="44"/>
          <w:szCs w:val="44"/>
          <w:lang w:val="en-US"/>
        </w:rPr>
        <w:t>2021年</w:t>
      </w:r>
      <w:r>
        <w:rPr>
          <w:rFonts w:hint="eastAsia" w:ascii="方正小标宋简体" w:hAnsi="宋体" w:eastAsia="方正小标宋简体"/>
          <w:sz w:val="44"/>
          <w:szCs w:val="44"/>
        </w:rPr>
        <w:t>专项预算项目支出绩效自评</w:t>
      </w:r>
      <w:r>
        <w:rPr>
          <w:rFonts w:hint="eastAsia" w:ascii="方正小标宋简体" w:hAnsi="宋体" w:eastAsia="方正小标宋简体"/>
          <w:sz w:val="44"/>
          <w:szCs w:val="44"/>
          <w:lang w:val="en-US"/>
        </w:rPr>
        <w:t>报告</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（基层组织建设经费项目）</w:t>
      </w:r>
    </w:p>
    <w:p>
      <w:pPr>
        <w:pStyle w:val="35"/>
        <w:spacing w:line="560" w:lineRule="exact"/>
        <w:ind w:firstLine="640"/>
        <w:jc w:val="center"/>
        <w:rPr>
          <w:rFonts w:ascii="楷体_GB2312" w:hAnsi="宋体" w:eastAsia="楷体_GB2312"/>
          <w:b/>
          <w:color w:val="auto"/>
          <w:kern w:val="2"/>
          <w:sz w:val="32"/>
          <w:szCs w:val="32"/>
        </w:rPr>
      </w:pPr>
    </w:p>
    <w:p>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基层组织建设经费申报10万元，批复10万元，</w:t>
      </w:r>
      <w:r>
        <w:rPr>
          <w:rFonts w:hint="eastAsia" w:ascii="仿宋_GB2312" w:hAnsi="宋体" w:eastAsia="仿宋_GB2312"/>
          <w:sz w:val="32"/>
          <w:szCs w:val="32"/>
          <w:lang w:val="zh-CN"/>
        </w:rPr>
        <w:t>符合资金管理办法等相关规定。</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基层组织建设经费用于开展妇联基层组织工作。</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项目申报内容与具体实施内容相符、申报目标合理可行等。</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（一）资金计划、到位及使用情况。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基层组织建设经费用于开展妇联基层组织工作，预算指标10万元，已支付10万元。</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项目绩效目标编制要素完整，绩效指标做到了细化量化。年初项目绩效目标编制科学准确，项目实际完成度高，与预期绩效目标偏离度小，实际完成达到了预期指标。年初预算数与决算数完全一致。</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为深入了解基层妇联组织建设、“两联一进”、推进妇联破难行动情况，深化在社会治理体系和治理能力现代化背景下的妇联改革，夯实基层基础，有效发挥基层妇联骨干引领示范作用，深入基层调研，会机关领导干部职工下基层、访妇情，调研基层妇联组织建设等差旅费均在其中开支。</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三、项目绩效情况</w:t>
      </w:r>
      <w:r>
        <w:rPr>
          <w:rFonts w:hint="eastAsia" w:ascii="黑体" w:hAnsi="宋体" w:eastAsia="黑体"/>
          <w:sz w:val="32"/>
          <w:szCs w:val="32"/>
        </w:rPr>
        <w:tab/>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换届选举</w:t>
      </w:r>
      <w:r>
        <w:rPr>
          <w:rFonts w:hint="eastAsia" w:ascii="仿宋_GB2312" w:hAnsi="仿宋_GB2312" w:eastAsia="仿宋_GB2312" w:cs="仿宋_GB2312"/>
          <w:sz w:val="32"/>
          <w:szCs w:val="32"/>
        </w:rPr>
        <w:t>后实现</w:t>
      </w:r>
      <w:r>
        <w:rPr>
          <w:rFonts w:ascii="仿宋_GB2312" w:hAnsi="仿宋_GB2312" w:eastAsia="仿宋_GB2312" w:cs="仿宋_GB2312"/>
          <w:sz w:val="32"/>
          <w:szCs w:val="32"/>
        </w:rPr>
        <w:t>我州女性进入村（社区）两委达100%，村（社区）妇联主席进两委达100%。落实村（社区）妇联主席基本报酬补助，村妇联主席原则上由村常职干部兼任（村纪检委员除外），享受基本报酬补助。因特殊原因未实现村常职干部兼任的，经县（市）党委常委会研究审议，报州委组织部、州民政局备案后，参照村民小组长误工补贴标准执行。</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乡镇妇联与党委换届同步进行。</w:t>
      </w:r>
    </w:p>
    <w:p>
      <w:pPr>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已完成了预期指标值，达到了预期目的。指导基层开展乡镇行政区划调整、村级建制调整后乡镇、村社区的妇联组织调整换届工作。配合省妇联开展形成村（社区）妇联换届及基层组织建设相关工作情况调研报告。</w:t>
      </w:r>
      <w:r>
        <w:rPr>
          <w:rFonts w:ascii="仿宋_GB2312" w:hAnsi="仿宋_GB2312" w:eastAsia="仿宋_GB2312" w:cs="仿宋_GB2312"/>
          <w:sz w:val="32"/>
          <w:szCs w:val="32"/>
        </w:rPr>
        <w:t>广泛征求对省妇联《“十四五”时期深化妇联系统改革方案》《“十四五”时期妇联事业发展专项规划》（征求意见稿）的修改意见并及时上报省妇联</w:t>
      </w:r>
      <w:r>
        <w:rPr>
          <w:rFonts w:hint="eastAsia" w:ascii="仿宋_GB2312" w:hAnsi="仿宋_GB2312" w:eastAsia="仿宋_GB2312" w:cs="仿宋_GB2312"/>
          <w:sz w:val="32"/>
          <w:szCs w:val="32"/>
        </w:rPr>
        <w:t>。巩固提升服务型妇联组织建设成果。</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项目预算和执行存在一定偏差。</w:t>
      </w:r>
    </w:p>
    <w:p>
      <w:pPr>
        <w:snapToGrid w:val="0"/>
        <w:spacing w:line="600" w:lineRule="exact"/>
        <w:ind w:left="420" w:left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826"/>
        <w:gridCol w:w="316"/>
        <w:gridCol w:w="392"/>
        <w:gridCol w:w="709"/>
        <w:gridCol w:w="425"/>
        <w:gridCol w:w="284"/>
        <w:gridCol w:w="709"/>
        <w:gridCol w:w="1842"/>
        <w:gridCol w:w="284"/>
        <w:gridCol w:w="1812"/>
        <w:gridCol w:w="236"/>
      </w:tblGrid>
      <w:tr>
        <w:tblPrEx>
          <w:tblCellMar>
            <w:top w:w="0" w:type="dxa"/>
            <w:left w:w="108" w:type="dxa"/>
            <w:bottom w:w="0" w:type="dxa"/>
            <w:right w:w="108" w:type="dxa"/>
          </w:tblCellMar>
        </w:tblPrEx>
        <w:trPr>
          <w:trHeight w:val="675" w:hRule="atLeast"/>
        </w:trPr>
        <w:tc>
          <w:tcPr>
            <w:tcW w:w="9575" w:type="dxa"/>
            <w:gridSpan w:val="11"/>
            <w:tcBorders>
              <w:top w:val="nil"/>
              <w:left w:val="nil"/>
              <w:bottom w:val="nil"/>
              <w:right w:val="nil"/>
            </w:tcBorders>
            <w:shd w:val="clear" w:color="auto" w:fill="auto"/>
            <w:noWrap/>
            <w:vAlign w:val="center"/>
          </w:tcPr>
          <w:p>
            <w:pPr>
              <w:widowControl/>
              <w:jc w:val="center"/>
              <w:textAlignment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2021年部门预算项目绩效目标自评</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（基层组织建设经费项目）</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主管部门及代码</w:t>
            </w:r>
          </w:p>
        </w:tc>
        <w:tc>
          <w:tcPr>
            <w:tcW w:w="15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8"/>
                <w:szCs w:val="28"/>
              </w:rPr>
              <w:t>118101</w:t>
            </w:r>
          </w:p>
        </w:tc>
        <w:tc>
          <w:tcPr>
            <w:tcW w:w="31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实施单位</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cs="宋体"/>
                <w:sz w:val="24"/>
              </w:rPr>
            </w:pPr>
            <w:r>
              <w:rPr>
                <w:rFonts w:hint="eastAsia" w:ascii="仿宋_GB2312" w:eastAsia="仿宋_GB2312" w:cs="宋体"/>
                <w:sz w:val="24"/>
              </w:rPr>
              <w:t>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仿宋_GB2312" w:eastAsia="仿宋_GB2312" w:cs="宋体"/>
                <w:kern w:val="0"/>
                <w:sz w:val="24"/>
              </w:rPr>
            </w:pPr>
            <w:r>
              <w:rPr>
                <w:rFonts w:hint="eastAsia" w:ascii="仿宋_GB2312" w:eastAsia="仿宋_GB2312" w:cs="宋体"/>
                <w:kern w:val="0"/>
                <w:sz w:val="24"/>
              </w:rPr>
              <w:t>项目预算</w:t>
            </w:r>
          </w:p>
          <w:p>
            <w:pPr>
              <w:widowControl/>
              <w:spacing w:line="320" w:lineRule="exact"/>
              <w:ind w:firstLine="480" w:firstLineChars="200"/>
              <w:jc w:val="center"/>
              <w:textAlignment w:val="center"/>
              <w:rPr>
                <w:rFonts w:ascii="仿宋_GB2312" w:eastAsia="仿宋_GB2312" w:cs="宋体"/>
                <w:kern w:val="0"/>
                <w:sz w:val="24"/>
              </w:rPr>
            </w:pPr>
            <w:r>
              <w:rPr>
                <w:rFonts w:hint="eastAsia" w:ascii="仿宋_GB2312" w:eastAsia="仿宋_GB2312" w:cs="宋体"/>
                <w:kern w:val="0"/>
                <w:sz w:val="24"/>
              </w:rPr>
              <w:t>执行情况</w:t>
            </w:r>
          </w:p>
          <w:p>
            <w:pPr>
              <w:widowControl/>
              <w:spacing w:line="320" w:lineRule="exact"/>
              <w:ind w:firstLine="480" w:firstLineChars="200"/>
              <w:jc w:val="center"/>
              <w:textAlignment w:val="center"/>
              <w:rPr>
                <w:rFonts w:ascii="仿宋_GB2312" w:eastAsia="仿宋_GB2312" w:cs="宋体"/>
                <w:sz w:val="24"/>
              </w:rPr>
            </w:pPr>
            <w:r>
              <w:rPr>
                <w:rFonts w:hint="eastAsia" w:ascii="仿宋_GB2312" w:eastAsia="仿宋_GB2312" w:cs="宋体"/>
                <w:kern w:val="0"/>
                <w:sz w:val="24"/>
              </w:rPr>
              <w:t>（万元）</w:t>
            </w:r>
          </w:p>
        </w:tc>
        <w:tc>
          <w:tcPr>
            <w:tcW w:w="181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预算数：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10</w:t>
            </w:r>
          </w:p>
        </w:tc>
        <w:tc>
          <w:tcPr>
            <w:tcW w:w="21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执行数：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10</w:t>
            </w:r>
          </w:p>
        </w:tc>
      </w:tr>
      <w:tr>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4"/>
              </w:rPr>
            </w:pPr>
          </w:p>
        </w:tc>
        <w:tc>
          <w:tcPr>
            <w:tcW w:w="181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其中：财政拨款</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10</w:t>
            </w:r>
          </w:p>
        </w:tc>
        <w:tc>
          <w:tcPr>
            <w:tcW w:w="21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其中：财政拨款</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10</w:t>
            </w:r>
          </w:p>
        </w:tc>
      </w:tr>
      <w:tr>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4"/>
              </w:rPr>
            </w:pPr>
          </w:p>
        </w:tc>
        <w:tc>
          <w:tcPr>
            <w:tcW w:w="181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其他资金</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0</w:t>
            </w:r>
          </w:p>
        </w:tc>
        <w:tc>
          <w:tcPr>
            <w:tcW w:w="21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其他资金</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年度总体目标</w:t>
            </w:r>
          </w:p>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完成情况</w:t>
            </w:r>
          </w:p>
        </w:tc>
        <w:tc>
          <w:tcPr>
            <w:tcW w:w="22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预期目标</w:t>
            </w:r>
          </w:p>
        </w:tc>
        <w:tc>
          <w:tcPr>
            <w:tcW w:w="535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4"/>
              </w:rPr>
            </w:pPr>
          </w:p>
        </w:tc>
        <w:tc>
          <w:tcPr>
            <w:tcW w:w="22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4"/>
              </w:rPr>
            </w:pPr>
            <w:r>
              <w:rPr>
                <w:rFonts w:hint="eastAsia" w:ascii="仿宋_GB2312" w:eastAsia="仿宋_GB2312" w:cs="宋体"/>
                <w:sz w:val="24"/>
              </w:rPr>
              <w:t>开展调查研究，指导推动工作</w:t>
            </w:r>
          </w:p>
        </w:tc>
        <w:tc>
          <w:tcPr>
            <w:tcW w:w="535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仿宋_GB2312" w:eastAsia="仿宋_GB2312" w:cs="宋体"/>
                <w:sz w:val="24"/>
              </w:rPr>
            </w:pPr>
            <w:r>
              <w:rPr>
                <w:rFonts w:hint="eastAsia" w:ascii="仿宋_GB2312" w:hAnsi="仿宋_GB2312" w:eastAsia="仿宋_GB2312" w:cs="仿宋_GB2312"/>
                <w:bCs/>
                <w:sz w:val="24"/>
              </w:rPr>
              <w:t>下基层、访妇情，调研基层妇联组织建设等</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4"/>
              </w:rPr>
            </w:pPr>
            <w:r>
              <w:rPr>
                <w:rFonts w:hint="eastAsia" w:ascii="仿宋_GB2312" w:eastAsia="仿宋_GB2312" w:cs="仿宋_GB2312"/>
                <w:kern w:val="0"/>
                <w:sz w:val="24"/>
              </w:rPr>
              <w:t>年度绩效指标完成情况</w:t>
            </w:r>
          </w:p>
        </w:tc>
        <w:tc>
          <w:tcPr>
            <w:tcW w:w="82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4"/>
              </w:rPr>
            </w:pPr>
            <w:r>
              <w:rPr>
                <w:rFonts w:hint="eastAsia" w:ascii="仿宋_GB2312" w:eastAsia="仿宋_GB2312" w:cs="仿宋_GB2312"/>
                <w:kern w:val="0"/>
                <w:sz w:val="24"/>
              </w:rPr>
              <w:t>一级指标</w:t>
            </w:r>
          </w:p>
        </w:tc>
        <w:tc>
          <w:tcPr>
            <w:tcW w:w="7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4"/>
              </w:rPr>
            </w:pPr>
            <w:r>
              <w:rPr>
                <w:rFonts w:hint="eastAsia" w:ascii="仿宋_GB2312" w:eastAsia="仿宋_GB2312" w:cs="仿宋_GB2312"/>
                <w:kern w:val="0"/>
                <w:sz w:val="24"/>
              </w:rPr>
              <w:t>二级指标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4"/>
              </w:rPr>
            </w:pPr>
            <w:r>
              <w:rPr>
                <w:rFonts w:hint="eastAsia" w:ascii="仿宋_GB2312" w:eastAsia="仿宋_GB2312" w:cs="仿宋_GB2312"/>
                <w:kern w:val="0"/>
                <w:sz w:val="24"/>
              </w:rPr>
              <w:t>三级指标</w:t>
            </w:r>
          </w:p>
        </w:tc>
        <w:tc>
          <w:tcPr>
            <w:tcW w:w="32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4"/>
              </w:rPr>
            </w:pPr>
            <w:r>
              <w:rPr>
                <w:rFonts w:hint="eastAsia" w:ascii="仿宋_GB2312" w:eastAsia="仿宋_GB2312" w:cs="仿宋_GB2312"/>
                <w:kern w:val="0"/>
                <w:sz w:val="24"/>
              </w:rPr>
              <w:t>预期指标值</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4"/>
              </w:rPr>
            </w:pPr>
            <w:r>
              <w:rPr>
                <w:rFonts w:hint="eastAsia" w:ascii="仿宋_GB2312" w:eastAsia="仿宋_GB2312" w:cs="仿宋_GB2312"/>
                <w:kern w:val="0"/>
                <w:sz w:val="24"/>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4"/>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4"/>
              </w:rPr>
            </w:pPr>
            <w:r>
              <w:rPr>
                <w:rFonts w:hint="eastAsia" w:ascii="仿宋_GB2312" w:eastAsia="仿宋_GB2312" w:cs="仿宋_GB2312"/>
                <w:kern w:val="0"/>
                <w:sz w:val="24"/>
              </w:rPr>
              <w:t>完成</w:t>
            </w:r>
          </w:p>
          <w:p>
            <w:pPr>
              <w:widowControl/>
              <w:spacing w:line="320" w:lineRule="exact"/>
              <w:jc w:val="center"/>
              <w:textAlignment w:val="bottom"/>
              <w:rPr>
                <w:rFonts w:ascii="仿宋_GB2312" w:eastAsia="仿宋_GB2312" w:cs="仿宋_GB2312"/>
                <w:sz w:val="24"/>
              </w:rPr>
            </w:pPr>
            <w:r>
              <w:rPr>
                <w:rFonts w:hint="eastAsia" w:ascii="仿宋_GB2312" w:eastAsia="仿宋_GB2312" w:cs="仿宋_GB2312"/>
                <w:kern w:val="0"/>
                <w:sz w:val="24"/>
              </w:rPr>
              <w:t>指标</w:t>
            </w:r>
          </w:p>
        </w:tc>
        <w:tc>
          <w:tcPr>
            <w:tcW w:w="7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4"/>
              </w:rPr>
            </w:pPr>
            <w:r>
              <w:rPr>
                <w:rFonts w:hint="eastAsia" w:ascii="仿宋_GB2312" w:eastAsia="仿宋_GB2312" w:cs="仿宋_GB2312"/>
                <w:kern w:val="0"/>
                <w:sz w:val="24"/>
              </w:rPr>
              <w:t>数量指标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调研指导内容</w:t>
            </w:r>
          </w:p>
        </w:tc>
        <w:tc>
          <w:tcPr>
            <w:tcW w:w="32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妇联中心工作及2021年课题调研任务</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hAnsi="仿宋_GB2312" w:eastAsia="仿宋_GB2312" w:cs="仿宋_GB2312"/>
                <w:bCs/>
                <w:sz w:val="24"/>
              </w:rPr>
              <w:t>下基层、访妇情，调研基层妇联组织建设等</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4"/>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4"/>
              </w:rPr>
            </w:pPr>
          </w:p>
        </w:tc>
        <w:tc>
          <w:tcPr>
            <w:tcW w:w="7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4"/>
              </w:rPr>
            </w:pPr>
            <w:r>
              <w:rPr>
                <w:rFonts w:hint="eastAsia" w:ascii="仿宋_GB2312" w:eastAsia="仿宋_GB2312" w:cs="仿宋_GB2312"/>
                <w:kern w:val="0"/>
                <w:sz w:val="24"/>
              </w:rPr>
              <w:t>质量指标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活动内容</w:t>
            </w:r>
          </w:p>
        </w:tc>
        <w:tc>
          <w:tcPr>
            <w:tcW w:w="32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常态化深入县、乡、村蹲点调研指导</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lang w:val="zh-CN"/>
              </w:rPr>
              <w:t>完成了预期指标值，</w:t>
            </w:r>
            <w:r>
              <w:rPr>
                <w:rFonts w:hint="eastAsia" w:ascii="仿宋_GB2312" w:eastAsia="仿宋_GB2312"/>
                <w:sz w:val="24"/>
              </w:rPr>
              <w:t>达到了预期目的</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jc w:val="center"/>
              <w:rPr>
                <w:rFonts w:ascii="仿宋_GB2312" w:eastAsia="仿宋_GB2312"/>
                <w:sz w:val="24"/>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eastAsia="仿宋_GB2312"/>
                <w:sz w:val="24"/>
              </w:rPr>
            </w:pPr>
          </w:p>
        </w:tc>
        <w:tc>
          <w:tcPr>
            <w:tcW w:w="7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4"/>
              </w:rPr>
            </w:pPr>
            <w:r>
              <w:rPr>
                <w:rFonts w:hint="eastAsia" w:ascii="仿宋_GB2312" w:eastAsia="仿宋_GB2312" w:cs="仿宋_GB2312"/>
                <w:kern w:val="0"/>
                <w:sz w:val="24"/>
              </w:rPr>
              <w:t>时效指标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完成时间</w:t>
            </w:r>
          </w:p>
        </w:tc>
        <w:tc>
          <w:tcPr>
            <w:tcW w:w="32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2021年11月底前完成</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single" w:color="auto" w:sz="4" w:space="0"/>
              <w:right w:val="single" w:color="000000" w:sz="4" w:space="0"/>
            </w:tcBorders>
            <w:shd w:val="clear" w:color="auto" w:fill="auto"/>
            <w:noWrap/>
            <w:vAlign w:val="center"/>
          </w:tcPr>
          <w:p>
            <w:pPr>
              <w:jc w:val="center"/>
              <w:rPr>
                <w:rFonts w:ascii="仿宋_GB2312" w:eastAsia="仿宋_GB2312"/>
                <w:sz w:val="24"/>
              </w:rPr>
            </w:pPr>
          </w:p>
        </w:tc>
        <w:tc>
          <w:tcPr>
            <w:tcW w:w="82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4"/>
              </w:rPr>
            </w:pPr>
            <w:r>
              <w:rPr>
                <w:rFonts w:hint="eastAsia" w:ascii="仿宋_GB2312" w:eastAsia="仿宋_GB2312" w:cs="仿宋_GB2312"/>
                <w:kern w:val="0"/>
                <w:sz w:val="24"/>
              </w:rPr>
              <w:t>效益</w:t>
            </w:r>
          </w:p>
          <w:p>
            <w:pPr>
              <w:widowControl/>
              <w:spacing w:line="320" w:lineRule="exact"/>
              <w:textAlignment w:val="bottom"/>
              <w:rPr>
                <w:rFonts w:ascii="仿宋_GB2312" w:eastAsia="仿宋_GB2312" w:cs="仿宋_GB2312"/>
                <w:sz w:val="24"/>
              </w:rPr>
            </w:pPr>
            <w:r>
              <w:rPr>
                <w:rFonts w:hint="eastAsia" w:ascii="仿宋_GB2312" w:eastAsia="仿宋_GB2312" w:cs="仿宋_GB2312"/>
                <w:kern w:val="0"/>
                <w:sz w:val="24"/>
              </w:rPr>
              <w:t>指标</w:t>
            </w:r>
          </w:p>
        </w:tc>
        <w:tc>
          <w:tcPr>
            <w:tcW w:w="708"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4"/>
              </w:rPr>
            </w:pPr>
            <w:r>
              <w:rPr>
                <w:rFonts w:hint="eastAsia" w:ascii="仿宋_GB2312" w:eastAsia="仿宋_GB2312" w:cs="仿宋_GB2312"/>
                <w:kern w:val="0"/>
                <w:sz w:val="24"/>
              </w:rPr>
              <w:t>社会效益  指标</w:t>
            </w:r>
          </w:p>
        </w:tc>
        <w:tc>
          <w:tcPr>
            <w:tcW w:w="70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拟达成效</w:t>
            </w:r>
          </w:p>
        </w:tc>
        <w:tc>
          <w:tcPr>
            <w:tcW w:w="3260" w:type="dxa"/>
            <w:gridSpan w:val="4"/>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增强基层妇女组织及妇女干部全面提升履职担当和为民服务能力，将妇联改革向纵深推进，激发基层妇联组织活力</w:t>
            </w:r>
          </w:p>
        </w:tc>
        <w:tc>
          <w:tcPr>
            <w:tcW w:w="2096"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sz w:val="24"/>
              </w:rPr>
            </w:pPr>
            <w:r>
              <w:rPr>
                <w:rFonts w:hint="eastAsia" w:ascii="仿宋_GB2312" w:eastAsia="仿宋_GB2312"/>
                <w:sz w:val="24"/>
              </w:rPr>
              <w:t>巩固提升服务型妇联组织建设成果。</w:t>
            </w:r>
          </w:p>
          <w:p>
            <w:pPr>
              <w:widowControl/>
              <w:spacing w:line="320" w:lineRule="exact"/>
              <w:jc w:val="center"/>
              <w:textAlignment w:val="bottom"/>
              <w:rPr>
                <w:rFonts w:ascii="仿宋_GB2312" w:eastAsia="仿宋_GB2312"/>
                <w:sz w:val="24"/>
              </w:rPr>
            </w:pPr>
          </w:p>
        </w:tc>
      </w:tr>
    </w:tbl>
    <w:p>
      <w:pPr>
        <w:spacing w:line="600" w:lineRule="exact"/>
        <w:rPr>
          <w:rFonts w:ascii="仿宋_GB2312" w:hAnsi="宋体"/>
        </w:rPr>
      </w:pPr>
    </w:p>
    <w:p>
      <w:pPr>
        <w:pStyle w:val="35"/>
        <w:spacing w:line="560" w:lineRule="exact"/>
        <w:jc w:val="center"/>
        <w:rPr>
          <w:rFonts w:hint="eastAsia" w:ascii="方正小标宋简体" w:hAnsi="宋体" w:eastAsia="方正小标宋简体"/>
          <w:sz w:val="44"/>
          <w:szCs w:val="44"/>
          <w:lang w:val="en-US"/>
        </w:rPr>
      </w:pPr>
    </w:p>
    <w:p>
      <w:pPr>
        <w:pStyle w:val="35"/>
        <w:spacing w:line="56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lang w:val="en-US"/>
        </w:rPr>
        <w:t>2021年</w:t>
      </w:r>
      <w:r>
        <w:rPr>
          <w:rFonts w:hint="eastAsia" w:ascii="方正小标宋简体" w:hAnsi="宋体" w:eastAsia="方正小标宋简体"/>
          <w:sz w:val="44"/>
          <w:szCs w:val="44"/>
        </w:rPr>
        <w:t>专项预算项目支出绩效自评报告</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（三八节等庆祝活动经费项目）</w:t>
      </w:r>
    </w:p>
    <w:p>
      <w:pPr>
        <w:pStyle w:val="35"/>
        <w:spacing w:line="600" w:lineRule="exact"/>
        <w:ind w:firstLine="640"/>
        <w:jc w:val="center"/>
        <w:rPr>
          <w:rFonts w:ascii="宋体" w:hAnsi="宋体"/>
          <w:color w:val="auto"/>
          <w:kern w:val="2"/>
          <w:sz w:val="32"/>
          <w:szCs w:val="32"/>
        </w:rPr>
      </w:pP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一、项目概况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项目申报资金5万元、批复5万元，符合资金管理办法等相关规定。</w:t>
      </w:r>
    </w:p>
    <w:p>
      <w:pPr>
        <w:adjustRightInd w:val="0"/>
        <w:snapToGrid w:val="0"/>
        <w:spacing w:line="576"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基于贯彻落实习近平总书记在同全国妇联新一届领导班子成员集体谈话时的重要讲话精神，进一步学习宣传贯彻习近平新时代中国特色社会主义思想，通过广泛开展“巾帼心向党、奋斗新征程”“百千万巾帼大宣讲”等主题活动。开展好“三八”节等纪念活动引导全州妇女听党话、跟党走。</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项目主要用组宣部2021年在“三八节”、母亲节等节庆期间开展活动及慰问、评选表彰先进。通过广泛开展“巾帼心向党、奋斗新征程”等宣传，引领广大妇女姐妹建功新时代。先进典型示范作用强，带动全州妇女姐妹学习，赶超先进。</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三、项目绩效情况</w:t>
      </w:r>
      <w:r>
        <w:rPr>
          <w:rFonts w:hint="eastAsia" w:ascii="黑体" w:hAnsi="宋体" w:eastAsia="黑体"/>
          <w:sz w:val="32"/>
          <w:szCs w:val="32"/>
        </w:rPr>
        <w:tab/>
      </w:r>
    </w:p>
    <w:p>
      <w:pPr>
        <w:spacing w:line="576" w:lineRule="exact"/>
        <w:ind w:firstLine="598" w:firstLineChars="187"/>
        <w:rPr>
          <w:rFonts w:ascii="仿宋_GB2312" w:hAnsi="仿宋_GB2312" w:eastAsia="仿宋_GB2312" w:cs="仿宋_GB2312"/>
          <w:sz w:val="32"/>
          <w:szCs w:val="32"/>
        </w:rPr>
      </w:pPr>
      <w:r>
        <w:rPr>
          <w:rFonts w:hint="eastAsia" w:ascii="仿宋_GB2312" w:hAnsi="仿宋_GB2312" w:eastAsia="仿宋_GB2312" w:cs="仿宋_GB2312"/>
          <w:sz w:val="32"/>
          <w:szCs w:val="32"/>
        </w:rPr>
        <w:t>项目并不在于经济效益，而是通过广泛开展“巾帼心向党、奋斗新征程”“百千万巾帼大宣讲”等主题活动。开展好“三八”节、母亲节等纪念活动，通过妇联自身职能特点更好地把广大妇女群众团结在党的周围。开展“净土春晖四送”等节庆主题活动，访妇女群众疾苦、送政策法律服务、扶弱势妇儿群体，帮助广大妇女排忧解难，把荣誉送到获奖者的手中，不单单是形式上的革新，更体现的思想和观念的变革，是方法的机制的创新,是妇联组织自我革命、改革创新、超越自我、顺乎潮流的时代脉动，充分展现了全州妇联组织转变作风、服务群众的良好精神风貌，体现了全州妇联干部敢于作为、勇于创新的时代担当精神。通过实实在在的贴心服务，全州各级妇联组织正以务实的工作举措把“两联一进”群众工作全覆盖和民族团结创建工作持续向纵深推进。开展好“三八”节、母亲节等纪念活动，对持续引导我州妇女儿童听党话跟党走具有实际需求和现实意义。</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75"/>
        <w:gridCol w:w="1014"/>
        <w:gridCol w:w="1224"/>
        <w:gridCol w:w="739"/>
        <w:gridCol w:w="1670"/>
        <w:gridCol w:w="236"/>
      </w:tblGrid>
      <w:tr>
        <w:tblPrEx>
          <w:tblCellMar>
            <w:top w:w="0" w:type="dxa"/>
            <w:left w:w="108" w:type="dxa"/>
            <w:bottom w:w="0" w:type="dxa"/>
            <w:right w:w="108" w:type="dxa"/>
          </w:tblCellMar>
        </w:tblPrEx>
        <w:trPr>
          <w:trHeight w:val="675" w:hRule="atLeast"/>
        </w:trPr>
        <w:tc>
          <w:tcPr>
            <w:tcW w:w="9575" w:type="dxa"/>
            <w:gridSpan w:val="8"/>
            <w:tcBorders>
              <w:top w:val="nil"/>
              <w:left w:val="nil"/>
              <w:bottom w:val="nil"/>
              <w:right w:val="nil"/>
            </w:tcBorders>
            <w:shd w:val="clear" w:color="auto" w:fill="auto"/>
            <w:noWrap/>
            <w:vAlign w:val="center"/>
          </w:tcPr>
          <w:p>
            <w:pPr>
              <w:widowControl/>
              <w:jc w:val="center"/>
              <w:textAlignment w:val="center"/>
              <w:rPr>
                <w:rFonts w:hint="eastAsia" w:ascii="方正小标宋_GBK" w:eastAsia="方正小标宋_GBK" w:cs="宋体"/>
                <w:b/>
                <w:sz w:val="44"/>
                <w:szCs w:val="44"/>
              </w:rPr>
            </w:pPr>
            <w:r>
              <w:rPr>
                <w:rFonts w:hint="eastAsia" w:ascii="方正小标宋_GBK" w:eastAsia="方正小标宋_GBK" w:cs="宋体"/>
                <w:b/>
                <w:sz w:val="44"/>
                <w:szCs w:val="44"/>
              </w:rPr>
              <w:t>2021年部门预算项目绩效目标自评</w:t>
            </w:r>
          </w:p>
          <w:p>
            <w:pPr>
              <w:spacing w:line="600" w:lineRule="exact"/>
              <w:jc w:val="center"/>
              <w:rPr>
                <w:rFonts w:ascii="楷体_GB2312" w:hAnsi="宋体" w:eastAsia="楷体_GB2312"/>
                <w:b/>
                <w:bCs/>
                <w:sz w:val="32"/>
                <w:szCs w:val="32"/>
              </w:rPr>
            </w:pPr>
            <w:r>
              <w:rPr>
                <w:rFonts w:hint="eastAsia" w:ascii="楷体_GB2312" w:hAnsi="宋体" w:eastAsia="楷体_GB2312"/>
                <w:b/>
                <w:bCs/>
                <w:sz w:val="32"/>
                <w:szCs w:val="32"/>
              </w:rPr>
              <w:t>（三八节等庆祝活动经费项目）</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118101</w:t>
            </w:r>
          </w:p>
        </w:tc>
        <w:tc>
          <w:tcPr>
            <w:tcW w:w="1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实施单位</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阿坝州妇联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项目预算</w:t>
            </w:r>
          </w:p>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执行情况</w:t>
            </w:r>
          </w:p>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（万元）</w:t>
            </w:r>
          </w:p>
        </w:tc>
        <w:tc>
          <w:tcPr>
            <w:tcW w:w="18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 xml:space="preserve"> 预算数：</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5</w:t>
            </w:r>
          </w:p>
        </w:tc>
        <w:tc>
          <w:tcPr>
            <w:tcW w:w="1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 xml:space="preserve"> 执行数：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5</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p>
        </w:tc>
        <w:tc>
          <w:tcPr>
            <w:tcW w:w="18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其中：财政拨款</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5</w:t>
            </w:r>
          </w:p>
        </w:tc>
        <w:tc>
          <w:tcPr>
            <w:tcW w:w="1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其中：财政拨款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5</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p>
        </w:tc>
        <w:tc>
          <w:tcPr>
            <w:tcW w:w="18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其他资金</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0</w:t>
            </w:r>
          </w:p>
        </w:tc>
        <w:tc>
          <w:tcPr>
            <w:tcW w:w="1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其他资金</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年度总体目标完成情况</w:t>
            </w:r>
          </w:p>
        </w:tc>
        <w:tc>
          <w:tcPr>
            <w:tcW w:w="39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p>
        </w:tc>
        <w:tc>
          <w:tcPr>
            <w:tcW w:w="3966" w:type="dxa"/>
            <w:gridSpan w:val="4"/>
            <w:tcBorders>
              <w:top w:val="single" w:color="000000" w:sz="4" w:space="0"/>
              <w:left w:val="single" w:color="000000" w:sz="4" w:space="0"/>
              <w:bottom w:val="single" w:color="auto" w:sz="4" w:space="0"/>
              <w:right w:val="single" w:color="000000" w:sz="4" w:space="0"/>
            </w:tcBorders>
            <w:shd w:val="clear" w:color="auto" w:fill="auto"/>
            <w:noWrap/>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“三八节”、母亲节等节庆期间开展活动及慰问、评选表彰先进</w:t>
            </w:r>
          </w:p>
        </w:tc>
        <w:tc>
          <w:tcPr>
            <w:tcW w:w="3633" w:type="dxa"/>
            <w:gridSpan w:val="3"/>
            <w:tcBorders>
              <w:top w:val="single" w:color="000000" w:sz="4" w:space="0"/>
              <w:left w:val="single" w:color="000000" w:sz="4" w:space="0"/>
              <w:bottom w:val="single" w:color="auto" w:sz="4" w:space="0"/>
              <w:right w:val="single" w:color="000000" w:sz="4" w:space="0"/>
            </w:tcBorders>
            <w:shd w:val="clear" w:color="auto" w:fill="auto"/>
            <w:noWrap/>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开展“净土春晖四送”等节庆主题活动</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仿宋_GB2312" w:eastAsia="仿宋_GB2312"/>
              </w:rPr>
            </w:pP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活动内容</w:t>
            </w:r>
          </w:p>
        </w:tc>
        <w:tc>
          <w:tcPr>
            <w:tcW w:w="12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三八节等期间开展活动及慰问、评选表彰先进</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“净土春晖四送”等节庆主题活动</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仿宋_GB2312" w:eastAsia="仿宋_GB2312"/>
              </w:rPr>
            </w:pP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拟达成效</w:t>
            </w:r>
          </w:p>
        </w:tc>
        <w:tc>
          <w:tcPr>
            <w:tcW w:w="12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引领广大妇女姐妹建功新时代。</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宋体"/>
                <w:sz w:val="24"/>
              </w:rPr>
            </w:pPr>
            <w:r>
              <w:rPr>
                <w:rFonts w:hint="eastAsia" w:ascii="仿宋_GB2312" w:eastAsia="仿宋_GB2312" w:cs="仿宋_GB2312"/>
                <w:kern w:val="0"/>
                <w:sz w:val="28"/>
                <w:szCs w:val="28"/>
              </w:rPr>
              <w:t>先进典型示范作用强，带动全州妇女姐妹学习，赶超先进</w:t>
            </w:r>
          </w:p>
        </w:tc>
      </w:tr>
    </w:tbl>
    <w:p>
      <w:pPr>
        <w:spacing w:line="600" w:lineRule="exact"/>
      </w:pPr>
    </w:p>
    <w:p>
      <w:pPr>
        <w:snapToGrid w:val="0"/>
        <w:spacing w:line="600" w:lineRule="exact"/>
        <w:jc w:val="center"/>
        <w:rPr>
          <w:rFonts w:ascii="华文仿宋" w:hAnsi="华文仿宋" w:eastAsia="华文仿宋" w:cs="华文仿宋"/>
          <w:sz w:val="24"/>
        </w:rPr>
      </w:pPr>
      <w:r>
        <w:rPr>
          <w:rFonts w:hint="eastAsia" w:ascii="方正小标宋简体" w:hAnsi="宋体" w:eastAsia="方正小标宋简体"/>
          <w:sz w:val="44"/>
          <w:szCs w:val="44"/>
        </w:rPr>
        <w:t>2021年专项预算项目支出绩效自评报告</w:t>
      </w:r>
    </w:p>
    <w:p>
      <w:pPr>
        <w:spacing w:line="520" w:lineRule="exact"/>
        <w:ind w:firstLine="640"/>
        <w:jc w:val="center"/>
        <w:rPr>
          <w:rFonts w:ascii="楷体_GB2312" w:hAnsi="华文仿宋" w:eastAsia="楷体_GB2312" w:cs="华文仿宋"/>
          <w:b/>
          <w:bCs/>
          <w:sz w:val="32"/>
          <w:szCs w:val="32"/>
        </w:rPr>
      </w:pPr>
      <w:r>
        <w:rPr>
          <w:rFonts w:hint="eastAsia" w:ascii="楷体_GB2312" w:hAnsi="华文仿宋" w:eastAsia="楷体_GB2312" w:cs="华文仿宋"/>
          <w:b/>
          <w:bCs/>
          <w:sz w:val="32"/>
          <w:szCs w:val="32"/>
        </w:rPr>
        <w:t>（四川省妇女儿童事业发展专项资金）</w:t>
      </w:r>
    </w:p>
    <w:p>
      <w:pPr>
        <w:jc w:val="center"/>
        <w:rPr>
          <w:rFonts w:ascii="楷体_GB2312" w:hAnsi="华文仿宋" w:eastAsia="楷体_GB2312" w:cs="华文仿宋"/>
          <w:spacing w:val="8"/>
          <w:sz w:val="32"/>
          <w:szCs w:val="32"/>
        </w:rPr>
      </w:pPr>
    </w:p>
    <w:p>
      <w:pPr>
        <w:pStyle w:val="2"/>
        <w:adjustRightInd w:val="0"/>
        <w:snapToGrid w:val="0"/>
        <w:spacing w:before="0" w:after="0" w:line="360" w:lineRule="auto"/>
        <w:ind w:firstLine="567"/>
        <w:rPr>
          <w:rFonts w:ascii="黑体" w:hAnsi="黑体" w:eastAsia="黑体" w:cs="仿宋_GB2312"/>
          <w:b w:val="0"/>
          <w:bCs w:val="0"/>
          <w:sz w:val="32"/>
          <w:szCs w:val="32"/>
        </w:rPr>
      </w:pPr>
      <w:r>
        <w:rPr>
          <w:rFonts w:hint="eastAsia" w:ascii="黑体" w:hAnsi="黑体" w:eastAsia="黑体"/>
          <w:bCs w:val="0"/>
          <w:color w:val="000000"/>
          <w:kern w:val="2"/>
          <w:sz w:val="32"/>
          <w:szCs w:val="32"/>
          <w:lang w:val="zh-CN"/>
        </w:rPr>
        <w:t>一、基本情况</w:t>
      </w:r>
    </w:p>
    <w:p>
      <w:pPr>
        <w:pStyle w:val="3"/>
        <w:adjustRightInd w:val="0"/>
        <w:snapToGrid w:val="0"/>
        <w:spacing w:beforeLines="0" w:after="0" w:line="360" w:lineRule="auto"/>
        <w:ind w:firstLine="565" w:firstLineChars="176"/>
        <w:rPr>
          <w:rFonts w:ascii="楷体_GB2312"/>
        </w:rPr>
      </w:pPr>
      <w:r>
        <w:rPr>
          <w:rFonts w:hint="eastAsia" w:ascii="楷体_GB2312"/>
        </w:rPr>
        <w:t>（一）项目概况</w:t>
      </w:r>
    </w:p>
    <w:p>
      <w:pPr>
        <w:pStyle w:val="34"/>
        <w:adjustRightInd w:val="0"/>
        <w:snapToGrid w:val="0"/>
        <w:spacing w:line="360" w:lineRule="auto"/>
        <w:ind w:firstLine="660"/>
        <w:rPr>
          <w:rFonts w:ascii="仿宋_GB2312" w:eastAsia="仿宋_GB2312"/>
          <w:kern w:val="0"/>
          <w:sz w:val="32"/>
          <w:szCs w:val="32"/>
          <w:lang w:val="en-US" w:eastAsia="zh-CN" w:bidi="ar-SA"/>
        </w:rPr>
      </w:pPr>
      <w:r>
        <w:rPr>
          <w:rFonts w:hint="eastAsia" w:ascii="仿宋_GB2312" w:eastAsia="仿宋_GB2312"/>
          <w:color w:val="auto"/>
          <w:kern w:val="0"/>
          <w:sz w:val="32"/>
          <w:szCs w:val="32"/>
          <w:lang w:val="en-US" w:eastAsia="zh-CN" w:bidi="ar-SA"/>
        </w:rPr>
        <w:t>2021年四川省妇女儿童事业发展专项资金“巾帼心向党·奋斗新征程”庆祝建党100周年系列活动暨思想政治引领项目的实施单位是阿坝州妇联，实施内容包括：</w:t>
      </w:r>
      <w:r>
        <w:rPr>
          <w:rFonts w:ascii="仿宋_GB2312" w:eastAsia="仿宋_GB2312"/>
          <w:color w:val="auto"/>
          <w:kern w:val="0"/>
          <w:sz w:val="32"/>
          <w:szCs w:val="32"/>
          <w:lang w:val="en-US" w:eastAsia="zh-CN" w:bidi="ar-SA"/>
        </w:rPr>
        <w:t>①覆盖3类以上不同妇女群体，覆盖人数达1.2万。②线上线下宣讲、宣传活动不少于4场。③在州妇联公众号“花开阿坝”开展妇女群众线上联动活动。</w:t>
      </w:r>
    </w:p>
    <w:p>
      <w:pPr>
        <w:pStyle w:val="3"/>
        <w:adjustRightInd w:val="0"/>
        <w:snapToGrid w:val="0"/>
        <w:spacing w:beforeLines="0" w:after="0" w:line="360" w:lineRule="auto"/>
        <w:ind w:firstLine="565" w:firstLineChars="176"/>
        <w:rPr>
          <w:rFonts w:ascii="仿宋_GB2312" w:hAnsi="宋体" w:cs="宋体"/>
          <w:lang w:val="zh-CN"/>
        </w:rPr>
      </w:pPr>
      <w:r>
        <w:rPr>
          <w:rFonts w:hint="eastAsia" w:ascii="楷体_GB2312"/>
        </w:rPr>
        <w:t>（二）项目立项依据、资金申报情况</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阿坝州妇联按照四川省妇女联合会《关于进一步做好申报2021年度四川省妇女儿童事业发展专项资金的通知》（川妇知[2020]48号）的要求，向四川省妇女联合会提交了</w:t>
      </w:r>
      <w:r>
        <w:rPr>
          <w:rFonts w:hint="eastAsia" w:ascii="仿宋_GB2312" w:eastAsia="仿宋_GB2312" w:cs="宋体"/>
          <w:kern w:val="0"/>
          <w:sz w:val="32"/>
          <w:szCs w:val="32"/>
        </w:rPr>
        <w:t>“巾帼心向党·奋斗新征程”庆祝建党100周年系列活动暨思想政治引领项目</w:t>
      </w:r>
      <w:r>
        <w:rPr>
          <w:rFonts w:hint="eastAsia" w:ascii="仿宋_GB2312" w:hAnsi="宋体" w:eastAsia="仿宋_GB2312" w:cs="宋体"/>
          <w:kern w:val="0"/>
          <w:sz w:val="32"/>
          <w:szCs w:val="32"/>
        </w:rPr>
        <w:t>《2021年妇儿专项项目绩效目标申报表》和《2021年度省妇联项目申报书》申报立项。</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2021年3月，阿坝州财政局发布《关于下达2021年度妇女儿童事业发展专项资金的通知》（阿州财行〔2021〕6号），通知列示：阿坝州妇联</w:t>
      </w:r>
      <w:r>
        <w:rPr>
          <w:rFonts w:hint="eastAsia" w:ascii="仿宋_GB2312" w:eastAsia="仿宋_GB2312" w:cs="宋体"/>
          <w:kern w:val="0"/>
          <w:sz w:val="32"/>
          <w:szCs w:val="32"/>
        </w:rPr>
        <w:t>“巾帼心向党·奋斗新征程”庆祝建党100周年系列活动暨思想政治引领</w:t>
      </w:r>
      <w:r>
        <w:rPr>
          <w:rFonts w:hint="eastAsia" w:ascii="仿宋_GB2312" w:hAnsi="宋体" w:eastAsia="仿宋_GB2312" w:cs="宋体"/>
          <w:kern w:val="0"/>
          <w:sz w:val="32"/>
          <w:szCs w:val="32"/>
        </w:rPr>
        <w:t>项目专项资金3万元。</w:t>
      </w:r>
    </w:p>
    <w:p>
      <w:pPr>
        <w:pStyle w:val="3"/>
        <w:adjustRightInd w:val="0"/>
        <w:snapToGrid w:val="0"/>
        <w:spacing w:beforeLines="0" w:after="0" w:line="360" w:lineRule="auto"/>
        <w:ind w:firstLine="565" w:firstLineChars="176"/>
        <w:rPr>
          <w:rFonts w:ascii="仿宋_GB2312" w:hAnsi="宋体" w:cs="宋体"/>
        </w:rPr>
      </w:pPr>
      <w:r>
        <w:rPr>
          <w:rFonts w:hint="eastAsia" w:ascii="楷体_GB2312"/>
        </w:rPr>
        <w:t>（三）项目绩效目标</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全州各级妇联以“巾帼心向党·奋斗新征程”为主题，纵向联动等方式开展群众性宣传活动、“百千万巾帼大宣讲”、先进典型进校园、进机关、进企业、进社区巡讲、巾帼故事汇巡讲等群众性宣传教育活动。①覆盖3类以上不同妇女群体，覆盖人数达1.2万。②线上线下宣讲、宣传活动不少于4场。③在州妇联公众号“花开阿坝”开展妇女群众线上联动活动。④运用新媒体手段围绕妇女群众关注点在州妇联官方公众号“花开阿坝”主动设置话题、引导讨论，努力做到联系妇女群众线下有活动、有面对面交流，线上有声音、有互动、有话题，实现互动常态化、沟通零距离。⑤通过活动的开展，亮出妇联旗帜、发出妇联声音，凝聚妇女力量，不断增强广大妇女贯彻落实的自觉性和坚定性，团结引领广大妇女群众听党话、跟党走，凝聚全州妇女投身“一州两区三家园”建设。</w:t>
      </w:r>
    </w:p>
    <w:p>
      <w:pPr>
        <w:pStyle w:val="3"/>
        <w:adjustRightInd w:val="0"/>
        <w:snapToGrid w:val="0"/>
        <w:spacing w:beforeLines="0" w:after="0" w:line="360" w:lineRule="auto"/>
        <w:ind w:firstLine="565" w:firstLineChars="176"/>
        <w:rPr>
          <w:rFonts w:ascii="楷体_GB2312"/>
        </w:rPr>
      </w:pPr>
      <w:r>
        <w:rPr>
          <w:rFonts w:hint="eastAsia" w:ascii="楷体_GB2312"/>
        </w:rPr>
        <w:t>（四）资金计划、到位及使用情况</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1.资金计划</w:t>
      </w:r>
    </w:p>
    <w:p>
      <w:pPr>
        <w:adjustRightInd w:val="0"/>
        <w:snapToGrid w:val="0"/>
        <w:spacing w:line="360" w:lineRule="auto"/>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2021年3月，阿坝州财政局发布《关于下达2021年度妇女儿童事业发展专项资金的通知》（阿州财行〔2021〕6号），阿坝州妇联</w:t>
      </w:r>
      <w:r>
        <w:rPr>
          <w:rFonts w:hint="eastAsia" w:ascii="仿宋_GB2312" w:eastAsia="仿宋_GB2312" w:cs="宋体"/>
          <w:kern w:val="0"/>
          <w:sz w:val="32"/>
          <w:szCs w:val="32"/>
        </w:rPr>
        <w:t>“巾帼心向党·奋斗新征程”庆祝建党100周年系列活动暨思想政治引领</w:t>
      </w:r>
      <w:r>
        <w:rPr>
          <w:rFonts w:hint="eastAsia" w:ascii="仿宋_GB2312" w:hAnsi="宋体" w:eastAsia="仿宋_GB2312" w:cs="宋体"/>
          <w:kern w:val="0"/>
          <w:sz w:val="32"/>
          <w:szCs w:val="32"/>
        </w:rPr>
        <w:t>项目专项资金共计3.00万元。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2.资金到位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截止评价报告日，阿坝州妇联收到</w:t>
      </w:r>
      <w:r>
        <w:rPr>
          <w:rFonts w:hint="eastAsia" w:ascii="仿宋_GB2312" w:eastAsia="仿宋_GB2312" w:cs="宋体"/>
          <w:kern w:val="0"/>
          <w:sz w:val="32"/>
          <w:szCs w:val="32"/>
        </w:rPr>
        <w:t>“巾帼心向党·奋斗新征程”庆祝建党100周年系列活动暨思想政治引领</w:t>
      </w:r>
      <w:r>
        <w:rPr>
          <w:rFonts w:hint="eastAsia" w:ascii="仿宋_GB2312" w:hAnsi="宋体" w:eastAsia="仿宋_GB2312" w:cs="宋体"/>
          <w:kern w:val="0"/>
          <w:sz w:val="32"/>
          <w:szCs w:val="32"/>
        </w:rPr>
        <w:t>项目拨款3.00万元。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3.资金使用</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w:t>
      </w:r>
      <w:r>
        <w:rPr>
          <w:rFonts w:hint="eastAsia" w:ascii="仿宋_GB2312" w:eastAsia="仿宋_GB2312" w:cs="宋体"/>
          <w:kern w:val="0"/>
          <w:sz w:val="32"/>
          <w:szCs w:val="32"/>
        </w:rPr>
        <w:t>“巾帼心向党·奋斗新征程”庆祝建党100周年系列活动暨思想政治引领</w:t>
      </w:r>
      <w:r>
        <w:rPr>
          <w:rFonts w:hint="eastAsia" w:ascii="仿宋_GB2312" w:hAnsi="宋体" w:eastAsia="仿宋_GB2312" w:cs="宋体"/>
          <w:kern w:val="0"/>
          <w:sz w:val="32"/>
          <w:szCs w:val="32"/>
        </w:rPr>
        <w:t>项目资金具体实施内容包括：</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单位：人民币元</w:t>
      </w: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38"/>
        <w:gridCol w:w="4126"/>
        <w:gridCol w:w="1663"/>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序号</w:t>
            </w:r>
          </w:p>
        </w:tc>
        <w:tc>
          <w:tcPr>
            <w:tcW w:w="2471"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实施内容</w:t>
            </w:r>
          </w:p>
        </w:tc>
        <w:tc>
          <w:tcPr>
            <w:tcW w:w="996"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金额</w:t>
            </w:r>
          </w:p>
        </w:tc>
        <w:tc>
          <w:tcPr>
            <w:tcW w:w="1150"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资金支付情况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1</w:t>
            </w:r>
          </w:p>
        </w:tc>
        <w:tc>
          <w:tcPr>
            <w:tcW w:w="2471" w:type="pct"/>
            <w:vAlign w:val="center"/>
          </w:tcPr>
          <w:p>
            <w:pPr>
              <w:pStyle w:val="9"/>
              <w:overflowPunct w:val="0"/>
              <w:adjustRightInd w:val="0"/>
              <w:snapToGrid w:val="0"/>
              <w:spacing w:after="0" w:line="240" w:lineRule="auto"/>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庆祝建党100周年系列活动暨思想政治引领大宣讲</w:t>
            </w:r>
          </w:p>
        </w:tc>
        <w:tc>
          <w:tcPr>
            <w:tcW w:w="996"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5,000.00</w:t>
            </w:r>
          </w:p>
        </w:tc>
        <w:tc>
          <w:tcPr>
            <w:tcW w:w="1150"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2</w:t>
            </w:r>
          </w:p>
        </w:tc>
        <w:tc>
          <w:tcPr>
            <w:tcW w:w="2471" w:type="pct"/>
            <w:vAlign w:val="center"/>
          </w:tcPr>
          <w:p>
            <w:pPr>
              <w:pStyle w:val="9"/>
              <w:overflowPunct w:val="0"/>
              <w:adjustRightInd w:val="0"/>
              <w:snapToGrid w:val="0"/>
              <w:spacing w:after="0" w:line="240" w:lineRule="auto"/>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线上巾帼党课讲师联盟宣讲活动</w:t>
            </w:r>
          </w:p>
        </w:tc>
        <w:tc>
          <w:tcPr>
            <w:tcW w:w="996"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4,000.00</w:t>
            </w:r>
          </w:p>
        </w:tc>
        <w:tc>
          <w:tcPr>
            <w:tcW w:w="1150"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3</w:t>
            </w:r>
          </w:p>
        </w:tc>
        <w:tc>
          <w:tcPr>
            <w:tcW w:w="2471" w:type="pct"/>
            <w:vAlign w:val="center"/>
          </w:tcPr>
          <w:p>
            <w:pPr>
              <w:pStyle w:val="9"/>
              <w:overflowPunct w:val="0"/>
              <w:adjustRightInd w:val="0"/>
              <w:snapToGrid w:val="0"/>
              <w:spacing w:after="0" w:line="240" w:lineRule="auto"/>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广场舞比赛参赛任务及妇女思想引领宣讲活动</w:t>
            </w:r>
          </w:p>
        </w:tc>
        <w:tc>
          <w:tcPr>
            <w:tcW w:w="996"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19,000.00</w:t>
            </w:r>
          </w:p>
        </w:tc>
        <w:tc>
          <w:tcPr>
            <w:tcW w:w="1150"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4</w:t>
            </w:r>
          </w:p>
        </w:tc>
        <w:tc>
          <w:tcPr>
            <w:tcW w:w="2471" w:type="pct"/>
            <w:vAlign w:val="center"/>
          </w:tcPr>
          <w:p>
            <w:pPr>
              <w:pStyle w:val="9"/>
              <w:overflowPunct w:val="0"/>
              <w:adjustRightInd w:val="0"/>
              <w:snapToGrid w:val="0"/>
              <w:spacing w:after="0" w:line="240" w:lineRule="auto"/>
              <w:ind w:left="0" w:leftChars="0"/>
              <w:jc w:val="left"/>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绩效评价</w:t>
            </w:r>
            <w:r>
              <w:rPr>
                <w:rFonts w:hint="eastAsia" w:ascii="仿宋_GB2312" w:hAnsi="宋体" w:eastAsia="仿宋_GB2312" w:cs="宋体"/>
                <w:kern w:val="0"/>
                <w:sz w:val="30"/>
                <w:szCs w:val="30"/>
                <w:lang w:val="zh-CN"/>
              </w:rPr>
              <w:t>费</w:t>
            </w:r>
          </w:p>
        </w:tc>
        <w:tc>
          <w:tcPr>
            <w:tcW w:w="996"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2,000</w:t>
            </w:r>
            <w:r>
              <w:rPr>
                <w:rFonts w:hint="eastAsia" w:ascii="仿宋_GB2312" w:hAnsi="宋体" w:eastAsia="仿宋_GB2312" w:cs="宋体"/>
                <w:kern w:val="0"/>
                <w:sz w:val="30"/>
                <w:szCs w:val="30"/>
                <w:lang w:val="zh-CN"/>
              </w:rPr>
              <w:t>.00</w:t>
            </w:r>
          </w:p>
        </w:tc>
        <w:tc>
          <w:tcPr>
            <w:tcW w:w="1150" w:type="pct"/>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9" w:hRule="atLeast"/>
        </w:trPr>
        <w:tc>
          <w:tcPr>
            <w:tcW w:w="2853" w:type="pct"/>
            <w:gridSpan w:val="2"/>
            <w:vAlign w:val="center"/>
          </w:tcPr>
          <w:p>
            <w:pPr>
              <w:pStyle w:val="9"/>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合计</w:t>
            </w:r>
          </w:p>
        </w:tc>
        <w:tc>
          <w:tcPr>
            <w:tcW w:w="996"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ascii="仿宋_GB2312" w:hAnsi="宋体" w:eastAsia="仿宋_GB2312" w:cs="宋体"/>
                <w:kern w:val="0"/>
                <w:sz w:val="30"/>
                <w:szCs w:val="30"/>
              </w:rPr>
              <w:fldChar w:fldCharType="begin"/>
            </w:r>
            <w:r>
              <w:rPr>
                <w:rFonts w:ascii="仿宋_GB2312" w:hAnsi="宋体" w:eastAsia="仿宋_GB2312" w:cs="宋体"/>
                <w:kern w:val="0"/>
                <w:sz w:val="30"/>
                <w:szCs w:val="30"/>
              </w:rPr>
              <w:instrText xml:space="preserve"> =sum(above) \# "#,##0.00" \* MERGEFORMAT </w:instrText>
            </w:r>
            <w:r>
              <w:rPr>
                <w:rFonts w:ascii="仿宋_GB2312" w:hAnsi="宋体" w:eastAsia="仿宋_GB2312" w:cs="宋体"/>
                <w:kern w:val="0"/>
                <w:sz w:val="30"/>
                <w:szCs w:val="30"/>
              </w:rPr>
              <w:fldChar w:fldCharType="separate"/>
            </w:r>
            <w:r>
              <w:rPr>
                <w:rFonts w:hint="eastAsia" w:ascii="仿宋_GB2312" w:hAnsi="宋体" w:eastAsia="仿宋_GB2312" w:cs="宋体"/>
                <w:kern w:val="0"/>
                <w:sz w:val="30"/>
                <w:szCs w:val="30"/>
              </w:rPr>
              <w:t>30,000.00</w:t>
            </w:r>
            <w:r>
              <w:rPr>
                <w:rFonts w:ascii="仿宋_GB2312" w:hAnsi="宋体" w:eastAsia="仿宋_GB2312" w:cs="宋体"/>
                <w:kern w:val="0"/>
                <w:sz w:val="30"/>
                <w:szCs w:val="30"/>
              </w:rPr>
              <w:fldChar w:fldCharType="end"/>
            </w:r>
          </w:p>
        </w:tc>
        <w:tc>
          <w:tcPr>
            <w:tcW w:w="1150" w:type="pct"/>
            <w:vAlign w:val="center"/>
          </w:tcPr>
          <w:p>
            <w:pPr>
              <w:pStyle w:val="9"/>
              <w:overflowPunct w:val="0"/>
              <w:adjustRightInd w:val="0"/>
              <w:snapToGrid w:val="0"/>
              <w:spacing w:after="0" w:line="240" w:lineRule="auto"/>
              <w:ind w:left="0" w:leftChars="0"/>
              <w:jc w:val="right"/>
              <w:rPr>
                <w:rFonts w:ascii="仿宋_GB2312" w:hAnsi="宋体" w:eastAsia="仿宋_GB2312" w:cs="宋体"/>
                <w:kern w:val="0"/>
                <w:sz w:val="30"/>
                <w:szCs w:val="30"/>
              </w:rPr>
            </w:pPr>
          </w:p>
        </w:tc>
      </w:tr>
    </w:tbl>
    <w:p>
      <w:pPr>
        <w:adjustRightInd w:val="0"/>
        <w:snapToGrid w:val="0"/>
        <w:spacing w:line="360" w:lineRule="auto"/>
        <w:ind w:firstLine="640" w:firstLineChars="200"/>
        <w:rPr>
          <w:rFonts w:ascii="仿宋_GB2312" w:hAnsi="宋体" w:eastAsia="仿宋_GB2312" w:cs="宋体"/>
          <w:kern w:val="0"/>
          <w:sz w:val="32"/>
          <w:szCs w:val="32"/>
        </w:rPr>
      </w:pPr>
      <w:bookmarkStart w:id="75" w:name="_Hlk12455649"/>
      <w:bookmarkStart w:id="76" w:name="_Toc9865188"/>
      <w:bookmarkStart w:id="77" w:name="_Toc10624073"/>
      <w:r>
        <w:rPr>
          <w:rFonts w:hint="eastAsia" w:ascii="仿宋_GB2312" w:hAnsi="宋体" w:eastAsia="仿宋_GB2312" w:cs="宋体"/>
          <w:kern w:val="0"/>
          <w:sz w:val="32"/>
          <w:szCs w:val="32"/>
        </w:rPr>
        <w:t>项目支出具体情况如下：</w:t>
      </w:r>
    </w:p>
    <w:p>
      <w:pPr>
        <w:adjustRightInd w:val="0"/>
        <w:snapToGrid w:val="0"/>
        <w:spacing w:line="360" w:lineRule="auto"/>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（1）</w:t>
      </w:r>
      <w:bookmarkEnd w:id="75"/>
      <w:r>
        <w:rPr>
          <w:rFonts w:hint="eastAsia" w:ascii="仿宋_GB2312" w:hAnsi="宋体" w:eastAsia="仿宋_GB2312" w:cs="宋体"/>
          <w:kern w:val="0"/>
          <w:sz w:val="30"/>
          <w:szCs w:val="30"/>
        </w:rPr>
        <w:t>庆祝建党100周年系列活动暨思想政治引领大宣讲</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阿坝州小金县妇女联合会关于开展“巾帼心向党</w:t>
      </w:r>
      <w:r>
        <w:rPr>
          <w:rFonts w:hint="eastAsia" w:ascii="仿宋_GB2312" w:eastAsia="仿宋_GB2312" w:cs="宋体"/>
          <w:kern w:val="0"/>
          <w:sz w:val="32"/>
          <w:szCs w:val="32"/>
        </w:rPr>
        <w:t>·</w:t>
      </w:r>
      <w:r>
        <w:rPr>
          <w:rFonts w:hint="eastAsia" w:ascii="仿宋_GB2312" w:hAnsi="宋体" w:eastAsia="仿宋_GB2312" w:cs="宋体"/>
          <w:kern w:val="0"/>
          <w:sz w:val="32"/>
          <w:szCs w:val="32"/>
        </w:rPr>
        <w:t>奋斗新征程”庆祝建党100周年宣讲活动，活动时间：2021年10月11日上午9:30，活动经费5,000.00元，其中：宣传活动资料、笔记本、笔等支出3,650.00元；会议费1,350.00元，均已支付。</w:t>
      </w:r>
    </w:p>
    <w:p>
      <w:pPr>
        <w:adjustRightInd w:val="0"/>
        <w:snapToGrid w:val="0"/>
        <w:spacing w:line="360" w:lineRule="auto"/>
        <w:ind w:firstLine="640" w:firstLineChars="200"/>
        <w:rPr>
          <w:rFonts w:ascii="仿宋_GB2312" w:hAnsi="宋体" w:eastAsia="仿宋_GB2312" w:cs="宋体"/>
          <w:kern w:val="0"/>
          <w:sz w:val="30"/>
          <w:szCs w:val="30"/>
        </w:rPr>
      </w:pPr>
      <w:r>
        <w:rPr>
          <w:rFonts w:hint="eastAsia" w:ascii="仿宋_GB2312" w:hAnsi="宋体" w:eastAsia="仿宋_GB2312" w:cs="宋体"/>
          <w:kern w:val="0"/>
          <w:sz w:val="32"/>
          <w:szCs w:val="32"/>
        </w:rPr>
        <w:t>（2）</w:t>
      </w:r>
      <w:r>
        <w:rPr>
          <w:rFonts w:hint="eastAsia" w:ascii="仿宋_GB2312" w:hAnsi="宋体" w:eastAsia="仿宋_GB2312" w:cs="宋体"/>
          <w:kern w:val="0"/>
          <w:sz w:val="30"/>
          <w:szCs w:val="30"/>
        </w:rPr>
        <w:t>线上巾帼党课讲师联盟宣讲活动</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10月，阿坝州妇联与成都北原文化传播有限公司签订了《巾帼讲师联盟精品微党课》课件短视频拍摄制作协议，合同约定成都北原文化传播有限公司提供时长为43分钟格式为16:9高清数字格式的《巾帼讲师联盟精品微党课》课件短视频，协议金额4,000.00元，已支付4,000.00元。</w:t>
      </w:r>
    </w:p>
    <w:p>
      <w:pPr>
        <w:adjustRightInd w:val="0"/>
        <w:snapToGrid w:val="0"/>
        <w:spacing w:line="360" w:lineRule="auto"/>
        <w:ind w:firstLine="640" w:firstLineChars="200"/>
        <w:rPr>
          <w:rFonts w:ascii="仿宋_GB2312" w:hAnsi="宋体" w:eastAsia="仿宋_GB2312" w:cs="宋体"/>
          <w:kern w:val="0"/>
          <w:sz w:val="30"/>
          <w:szCs w:val="30"/>
        </w:rPr>
      </w:pPr>
      <w:r>
        <w:rPr>
          <w:rFonts w:hint="eastAsia" w:ascii="仿宋_GB2312" w:hAnsi="宋体" w:eastAsia="仿宋_GB2312" w:cs="宋体"/>
          <w:kern w:val="0"/>
          <w:sz w:val="32"/>
          <w:szCs w:val="32"/>
        </w:rPr>
        <w:t>（3）</w:t>
      </w:r>
      <w:r>
        <w:rPr>
          <w:rFonts w:hint="eastAsia" w:ascii="仿宋_GB2312" w:hAnsi="宋体" w:eastAsia="仿宋_GB2312" w:cs="宋体"/>
          <w:kern w:val="0"/>
          <w:sz w:val="30"/>
          <w:szCs w:val="30"/>
        </w:rPr>
        <w:t>广场舞比赛参赛任务及妇女思想引领宣讲活动</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①</w:t>
      </w:r>
      <w:r>
        <w:rPr>
          <w:rFonts w:hint="eastAsia" w:ascii="仿宋_GB2312" w:hAnsi="宋体" w:eastAsia="仿宋_GB2312" w:cs="宋体"/>
          <w:kern w:val="0"/>
          <w:sz w:val="32"/>
          <w:szCs w:val="32"/>
        </w:rPr>
        <w:t>2021年9月25日，阿坝州马尔康妇女联合会与四川岗坚格桑花文化传播有限公司签订了《2021年马尔康市妇联“巾帼心向党</w:t>
      </w:r>
      <w:r>
        <w:rPr>
          <w:rFonts w:hint="eastAsia" w:ascii="仿宋_GB2312" w:eastAsia="仿宋_GB2312" w:cs="宋体"/>
          <w:kern w:val="0"/>
          <w:sz w:val="32"/>
          <w:szCs w:val="32"/>
        </w:rPr>
        <w:t>·</w:t>
      </w:r>
      <w:r>
        <w:rPr>
          <w:rFonts w:hint="eastAsia" w:ascii="仿宋_GB2312" w:hAnsi="宋体" w:eastAsia="仿宋_GB2312" w:cs="宋体"/>
          <w:kern w:val="0"/>
          <w:sz w:val="32"/>
          <w:szCs w:val="32"/>
        </w:rPr>
        <w:t>奋斗新征程”广场舞比赛视频摄制合同，合作内容：广场舞比赛策划拍摄制作方案、剪辑等，合同金额7,000.00元，已支付7,000.00元。</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②</w:t>
      </w:r>
      <w:r>
        <w:rPr>
          <w:rFonts w:hint="eastAsia" w:ascii="仿宋_GB2312" w:hAnsi="宋体" w:eastAsia="仿宋_GB2312" w:cs="宋体"/>
          <w:kern w:val="0"/>
          <w:sz w:val="32"/>
          <w:szCs w:val="32"/>
        </w:rPr>
        <w:t>2021年9月7日，阿坝州茂县妇女联合会与茂县桃夭文化传媒有限公司签订合同，合作内容：“巾帼心向党</w:t>
      </w:r>
      <w:r>
        <w:rPr>
          <w:rFonts w:hint="eastAsia" w:ascii="仿宋_GB2312" w:eastAsia="仿宋_GB2312" w:cs="宋体"/>
          <w:kern w:val="0"/>
          <w:sz w:val="32"/>
          <w:szCs w:val="32"/>
        </w:rPr>
        <w:t>·</w:t>
      </w:r>
      <w:r>
        <w:rPr>
          <w:rFonts w:hint="eastAsia" w:ascii="仿宋_GB2312" w:hAnsi="宋体" w:eastAsia="仿宋_GB2312" w:cs="宋体"/>
          <w:kern w:val="0"/>
          <w:sz w:val="32"/>
          <w:szCs w:val="32"/>
        </w:rPr>
        <w:t>奋斗新征程”广场舞比赛羌族萨朗视频拍摄及制作，合同金额5,000.00元，已支付5,000.00元。</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③</w:t>
      </w:r>
      <w:r>
        <w:rPr>
          <w:rFonts w:hint="eastAsia" w:ascii="仿宋_GB2312" w:hAnsi="宋体" w:eastAsia="仿宋_GB2312" w:cs="宋体"/>
          <w:kern w:val="0"/>
          <w:sz w:val="32"/>
          <w:szCs w:val="32"/>
        </w:rPr>
        <w:t>红原县妇联开展“巾帼心向党</w:t>
      </w:r>
      <w:r>
        <w:rPr>
          <w:rFonts w:hint="eastAsia" w:ascii="仿宋_GB2312" w:eastAsia="仿宋_GB2312" w:cs="宋体"/>
          <w:kern w:val="0"/>
          <w:sz w:val="32"/>
          <w:szCs w:val="32"/>
        </w:rPr>
        <w:t>·</w:t>
      </w:r>
      <w:r>
        <w:rPr>
          <w:rFonts w:hint="eastAsia" w:ascii="仿宋_GB2312" w:hAnsi="宋体" w:eastAsia="仿宋_GB2312" w:cs="宋体"/>
          <w:kern w:val="0"/>
          <w:sz w:val="32"/>
          <w:szCs w:val="32"/>
        </w:rPr>
        <w:t>奋斗新征程”广场舞比赛及妇女思想引领宣讲活动，活动支出7,000.00元，其中：宣传册、横幅等支出5,000.00元，视频拍摄及制作费2,000.00元，均已支付。</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宋体" w:eastAsia="仿宋_GB2312" w:cs="宋体"/>
          <w:kern w:val="0"/>
          <w:sz w:val="30"/>
          <w:szCs w:val="30"/>
        </w:rPr>
        <w:t>绩效评价</w:t>
      </w:r>
      <w:r>
        <w:rPr>
          <w:rFonts w:hint="eastAsia" w:ascii="仿宋_GB2312" w:hAnsi="宋体" w:eastAsia="仿宋_GB2312" w:cs="宋体"/>
          <w:kern w:val="0"/>
          <w:sz w:val="30"/>
          <w:szCs w:val="30"/>
          <w:lang w:val="zh-CN"/>
        </w:rPr>
        <w:t>费</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4月，阿坝州妇联与四川天和联合会计师事务所(普通合伙）签订了《财政支出绩效评价咨询业务约定书》，协议约定由四川天和联合会计师事务所(普通合伙）对阿坝州妇联2021年四川省妇女儿童事业发展专项资金“巾帼心向党·奋斗新征程”庆祝建党100周年系列活动暨思想政治引领项目进行绩效评价，费用2,000.00元，未支付，待绩效评价结束后一次性支付。</w:t>
      </w:r>
    </w:p>
    <w:p>
      <w:pPr>
        <w:pStyle w:val="3"/>
        <w:adjustRightInd w:val="0"/>
        <w:snapToGrid w:val="0"/>
        <w:spacing w:beforeLines="0" w:after="0" w:line="360" w:lineRule="auto"/>
        <w:ind w:firstLine="565" w:firstLineChars="176"/>
        <w:rPr>
          <w:rFonts w:ascii="楷体_GB2312"/>
        </w:rPr>
      </w:pPr>
      <w:r>
        <w:rPr>
          <w:rFonts w:hint="eastAsia" w:ascii="楷体_GB2312"/>
        </w:rPr>
        <w:t>（五）项目财务管理情况</w:t>
      </w:r>
      <w:bookmarkEnd w:id="76"/>
      <w:bookmarkEnd w:id="77"/>
    </w:p>
    <w:p>
      <w:pPr>
        <w:adjustRightInd w:val="0"/>
        <w:snapToGrid w:val="0"/>
        <w:spacing w:line="360" w:lineRule="auto"/>
        <w:ind w:firstLine="640" w:firstLineChars="200"/>
        <w:rPr>
          <w:rFonts w:ascii="华文仿宋" w:hAnsi="华文仿宋" w:eastAsia="华文仿宋"/>
          <w:sz w:val="32"/>
        </w:rPr>
      </w:pPr>
      <w:r>
        <w:rPr>
          <w:rFonts w:hint="eastAsia" w:ascii="仿宋_GB2312" w:hAnsi="宋体" w:eastAsia="仿宋_GB2312" w:cs="宋体"/>
          <w:kern w:val="0"/>
          <w:sz w:val="32"/>
          <w:szCs w:val="32"/>
          <w:lang w:val="zh-CN"/>
        </w:rPr>
        <w:t>阿坝州妇联按照《“巾帼心向党·奋斗新征程”庆祝建党100周年系列活动暨思想政治引领项目资金管理办法》要求，“巾帼心向党·奋斗新征程”庆祝建党100周年系列活动暨思想政治引领项目资金</w:t>
      </w:r>
      <w:r>
        <w:rPr>
          <w:rFonts w:ascii="华文仿宋" w:hAnsi="华文仿宋" w:eastAsia="华文仿宋"/>
          <w:sz w:val="32"/>
        </w:rPr>
        <w:t>支付</w:t>
      </w:r>
      <w:r>
        <w:rPr>
          <w:rFonts w:hint="eastAsia" w:ascii="华文仿宋" w:hAnsi="华文仿宋" w:eastAsia="华文仿宋"/>
          <w:sz w:val="32"/>
        </w:rPr>
        <w:t>严格</w:t>
      </w:r>
      <w:r>
        <w:rPr>
          <w:rFonts w:ascii="华文仿宋" w:hAnsi="华文仿宋" w:eastAsia="华文仿宋"/>
          <w:sz w:val="32"/>
        </w:rPr>
        <w:t>按</w:t>
      </w:r>
      <w:r>
        <w:rPr>
          <w:rFonts w:hint="eastAsia" w:ascii="华文仿宋" w:hAnsi="华文仿宋" w:eastAsia="华文仿宋"/>
          <w:sz w:val="32"/>
        </w:rPr>
        <w:t>照</w:t>
      </w:r>
      <w:r>
        <w:rPr>
          <w:rFonts w:ascii="华文仿宋" w:hAnsi="华文仿宋" w:eastAsia="华文仿宋"/>
          <w:sz w:val="32"/>
        </w:rPr>
        <w:t>资金管理办法</w:t>
      </w:r>
      <w:r>
        <w:rPr>
          <w:rFonts w:hint="eastAsia" w:ascii="华文仿宋" w:hAnsi="华文仿宋" w:eastAsia="华文仿宋"/>
          <w:sz w:val="32"/>
        </w:rPr>
        <w:t>规定</w:t>
      </w:r>
      <w:r>
        <w:rPr>
          <w:rFonts w:ascii="华文仿宋" w:hAnsi="华文仿宋" w:eastAsia="华文仿宋"/>
          <w:sz w:val="32"/>
        </w:rPr>
        <w:t>办理</w:t>
      </w:r>
      <w:r>
        <w:rPr>
          <w:rFonts w:hint="eastAsia" w:ascii="华文仿宋" w:hAnsi="华文仿宋" w:eastAsia="华文仿宋"/>
          <w:sz w:val="32"/>
        </w:rPr>
        <w:t>，相</w:t>
      </w:r>
      <w:r>
        <w:rPr>
          <w:rFonts w:ascii="华文仿宋" w:hAnsi="华文仿宋" w:eastAsia="华文仿宋"/>
          <w:sz w:val="32"/>
        </w:rPr>
        <w:t>关</w:t>
      </w:r>
      <w:r>
        <w:rPr>
          <w:rFonts w:hint="eastAsia" w:ascii="华文仿宋" w:hAnsi="华文仿宋" w:eastAsia="华文仿宋"/>
          <w:sz w:val="32"/>
        </w:rPr>
        <w:t>制度</w:t>
      </w:r>
      <w:r>
        <w:rPr>
          <w:rFonts w:ascii="华文仿宋" w:hAnsi="华文仿宋" w:eastAsia="华文仿宋"/>
          <w:sz w:val="32"/>
        </w:rPr>
        <w:t>规定得到了有效执行</w:t>
      </w:r>
      <w:r>
        <w:rPr>
          <w:rFonts w:hint="eastAsia" w:ascii="华文仿宋" w:hAnsi="华文仿宋" w:eastAsia="华文仿宋"/>
          <w:sz w:val="32"/>
        </w:rPr>
        <w:t>。会计</w:t>
      </w:r>
      <w:r>
        <w:rPr>
          <w:rFonts w:ascii="华文仿宋" w:hAnsi="华文仿宋" w:eastAsia="华文仿宋"/>
          <w:sz w:val="32"/>
        </w:rPr>
        <w:t>核算规范</w:t>
      </w:r>
      <w:r>
        <w:rPr>
          <w:rFonts w:hint="eastAsia" w:ascii="华文仿宋" w:hAnsi="华文仿宋" w:eastAsia="华文仿宋"/>
          <w:sz w:val="32"/>
        </w:rPr>
        <w:t>，符合</w:t>
      </w:r>
      <w:r>
        <w:rPr>
          <w:rFonts w:ascii="华文仿宋" w:hAnsi="华文仿宋" w:eastAsia="华文仿宋"/>
          <w:sz w:val="32"/>
        </w:rPr>
        <w:t>会计管理要求</w:t>
      </w:r>
      <w:r>
        <w:rPr>
          <w:rFonts w:hint="eastAsia" w:ascii="华文仿宋" w:hAnsi="华文仿宋" w:eastAsia="华文仿宋"/>
          <w:sz w:val="32"/>
        </w:rPr>
        <w:t>。</w:t>
      </w:r>
      <w:bookmarkStart w:id="78" w:name="_Toc9865189"/>
      <w:bookmarkStart w:id="79" w:name="_Toc10624074"/>
    </w:p>
    <w:p>
      <w:pPr>
        <w:pStyle w:val="3"/>
        <w:adjustRightInd w:val="0"/>
        <w:snapToGrid w:val="0"/>
        <w:spacing w:beforeLines="0" w:after="0" w:line="360" w:lineRule="auto"/>
        <w:ind w:firstLine="565" w:firstLineChars="176"/>
        <w:rPr>
          <w:rFonts w:ascii="楷体_GB2312"/>
        </w:rPr>
      </w:pPr>
      <w:r>
        <w:rPr>
          <w:rFonts w:hint="eastAsia" w:ascii="楷体_GB2312"/>
        </w:rPr>
        <w:t>（六）项目组织实施情况</w:t>
      </w:r>
      <w:bookmarkEnd w:id="78"/>
      <w:bookmarkEnd w:id="79"/>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阿坝州妇联按照专项资金管理办法要求，认真做好项目支出审核及项目资金分配调整工作。</w:t>
      </w:r>
    </w:p>
    <w:p>
      <w:pPr>
        <w:adjustRightInd w:val="0"/>
        <w:snapToGrid w:val="0"/>
        <w:spacing w:line="360" w:lineRule="auto"/>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截至评价报告日，该项目的实施内容已完成，主要实施完成情况如下：</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bookmarkStart w:id="80" w:name="_Toc10624075"/>
      <w:r>
        <w:rPr>
          <w:rFonts w:hint="eastAsia" w:ascii="仿宋_GB2312" w:hAnsi="宋体" w:eastAsia="仿宋_GB2312" w:cs="宋体"/>
          <w:kern w:val="0"/>
          <w:sz w:val="32"/>
          <w:szCs w:val="32"/>
        </w:rPr>
        <w:t>1、开展“</w:t>
      </w:r>
      <w:r>
        <w:rPr>
          <w:rFonts w:hint="eastAsia" w:ascii="仿宋_GB2312" w:hAnsi="宋体" w:eastAsia="仿宋_GB2312" w:cs="宋体"/>
          <w:kern w:val="0"/>
          <w:sz w:val="32"/>
          <w:szCs w:val="32"/>
          <w:lang w:val="zh-CN"/>
        </w:rPr>
        <w:t>巾帼心向党·奋斗新征程”</w:t>
      </w:r>
      <w:r>
        <w:rPr>
          <w:rFonts w:hint="eastAsia" w:ascii="仿宋_GB2312" w:hAnsi="宋体" w:eastAsia="仿宋_GB2312" w:cs="宋体"/>
          <w:kern w:val="0"/>
          <w:sz w:val="32"/>
          <w:szCs w:val="32"/>
        </w:rPr>
        <w:t>庆</w:t>
      </w:r>
      <w:r>
        <w:rPr>
          <w:rFonts w:hint="eastAsia" w:ascii="仿宋_GB2312" w:hAnsi="宋体" w:eastAsia="仿宋_GB2312" w:cs="宋体"/>
          <w:kern w:val="0"/>
          <w:sz w:val="32"/>
          <w:szCs w:val="32"/>
          <w:lang w:val="zh-CN"/>
        </w:rPr>
        <w:t>祝建党100周年系列活动暨思想政治引领</w:t>
      </w:r>
      <w:r>
        <w:rPr>
          <w:rFonts w:hint="eastAsia" w:ascii="仿宋_GB2312" w:hAnsi="宋体" w:eastAsia="仿宋_GB2312" w:cs="宋体"/>
          <w:kern w:val="0"/>
          <w:sz w:val="32"/>
          <w:szCs w:val="32"/>
        </w:rPr>
        <w:t>大宣讲。州县联合开展实地群众性宣传教育活动；</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2、结合妇女思想引领宣讲活动，积极参与省妇联举办“</w:t>
      </w:r>
      <w:r>
        <w:rPr>
          <w:rFonts w:hint="eastAsia" w:ascii="仿宋_GB2312" w:hAnsi="宋体" w:eastAsia="仿宋_GB2312" w:cs="宋体"/>
          <w:kern w:val="0"/>
          <w:sz w:val="32"/>
          <w:szCs w:val="32"/>
          <w:lang w:val="zh-CN"/>
        </w:rPr>
        <w:t>巾帼心向党·奋斗新征程”</w:t>
      </w:r>
      <w:r>
        <w:rPr>
          <w:rFonts w:hint="eastAsia" w:ascii="仿宋_GB2312" w:hAnsi="宋体" w:eastAsia="仿宋_GB2312" w:cs="宋体"/>
          <w:kern w:val="0"/>
          <w:sz w:val="32"/>
          <w:szCs w:val="32"/>
        </w:rPr>
        <w:t>广场舞比赛，联合红原县、马尔康市、茂县制作广场舞比赛参评视频3个。</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3、开展线上巾帼党课讲师联盟宣讲活动，联合州委党校制作专题党史学习系列课程，在州妇联官方微信公众号平台“花开阿坝”上推送课程视频。</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二、绩效评价的组织实施情况</w:t>
      </w:r>
      <w:bookmarkEnd w:id="80"/>
    </w:p>
    <w:p>
      <w:pPr>
        <w:pStyle w:val="3"/>
        <w:adjustRightInd w:val="0"/>
        <w:snapToGrid w:val="0"/>
        <w:spacing w:beforeLines="0" w:after="0" w:line="360" w:lineRule="auto"/>
        <w:ind w:firstLine="565" w:firstLineChars="176"/>
        <w:rPr>
          <w:rFonts w:ascii="楷体_GB2312"/>
        </w:rPr>
      </w:pPr>
      <w:bookmarkStart w:id="81" w:name="_Toc10624076"/>
      <w:r>
        <w:rPr>
          <w:rFonts w:hint="eastAsia" w:ascii="楷体_GB2312"/>
        </w:rPr>
        <w:t>（一）前期准备</w:t>
      </w:r>
      <w:bookmarkEnd w:id="81"/>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评价机构在该阶段的主要工作是：接受委托任务；成立绩效评价工作组，培训绩效评价工作人员；确定绩效评价总体方案；对相关资料进行收集、整理、数据分析。</w:t>
      </w:r>
    </w:p>
    <w:p>
      <w:pPr>
        <w:pStyle w:val="3"/>
        <w:adjustRightInd w:val="0"/>
        <w:snapToGrid w:val="0"/>
        <w:spacing w:beforeLines="0" w:after="0" w:line="360" w:lineRule="auto"/>
        <w:ind w:firstLine="565" w:firstLineChars="176"/>
        <w:rPr>
          <w:rFonts w:ascii="楷体_GB2312"/>
        </w:rPr>
      </w:pPr>
      <w:bookmarkStart w:id="82" w:name="_Toc10624077"/>
      <w:r>
        <w:rPr>
          <w:rFonts w:hint="eastAsia" w:ascii="楷体_GB2312"/>
        </w:rPr>
        <w:t>（二）组织实施情况</w:t>
      </w:r>
      <w:bookmarkEnd w:id="82"/>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通过查阅资料（包括与项目相关的法律法规及规定、项目档案资料、财务资料等）、询问等方式，了解该评价项目在项目完成、项目效益及项目满意度等方面情况；收集相关数据完成评价、核对工作记录、指标表、数据表及问卷调查；报送项目负责人审核。</w:t>
      </w:r>
    </w:p>
    <w:p>
      <w:pPr>
        <w:pStyle w:val="3"/>
        <w:adjustRightInd w:val="0"/>
        <w:snapToGrid w:val="0"/>
        <w:spacing w:beforeLines="0" w:after="0" w:line="360" w:lineRule="auto"/>
        <w:ind w:firstLine="565" w:firstLineChars="176"/>
        <w:rPr>
          <w:rFonts w:ascii="楷体_GB2312"/>
        </w:rPr>
      </w:pPr>
      <w:bookmarkStart w:id="83" w:name="_Toc10624078"/>
      <w:r>
        <w:rPr>
          <w:rFonts w:hint="eastAsia" w:ascii="楷体_GB2312"/>
        </w:rPr>
        <w:t>（三）分析评价，出具评价报告</w:t>
      </w:r>
      <w:bookmarkEnd w:id="83"/>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评价机构在该阶段的主要工作是：项目评价组根据</w:t>
      </w:r>
      <w:r>
        <w:rPr>
          <w:rFonts w:hint="eastAsia" w:ascii="仿宋_GB2312" w:hAnsi="宋体" w:eastAsia="仿宋_GB2312" w:cs="宋体"/>
          <w:kern w:val="0"/>
          <w:sz w:val="32"/>
          <w:szCs w:val="32"/>
        </w:rPr>
        <w:t>四川省妇女联合会《四川省妇女儿童事业发展专项资金管理办法》</w:t>
      </w:r>
      <w:r>
        <w:rPr>
          <w:rFonts w:hint="eastAsia" w:ascii="仿宋_GB2312" w:hAnsi="仿宋_GB2312" w:eastAsia="仿宋_GB2312" w:cs="仿宋_GB2312"/>
          <w:sz w:val="32"/>
          <w:szCs w:val="32"/>
        </w:rPr>
        <w:t>以及</w:t>
      </w:r>
      <w:r>
        <w:rPr>
          <w:rFonts w:hint="eastAsia" w:ascii="仿宋_GB2312" w:hAnsi="宋体" w:eastAsia="仿宋_GB2312" w:cs="宋体"/>
          <w:kern w:val="0"/>
          <w:sz w:val="32"/>
          <w:szCs w:val="32"/>
          <w:lang w:val="zh-CN"/>
        </w:rPr>
        <w:t>阿坝州妇联《关于</w:t>
      </w:r>
      <w:r>
        <w:rPr>
          <w:rFonts w:hint="eastAsia" w:ascii="仿宋_GB2312" w:hAnsi="宋体" w:eastAsia="仿宋_GB2312" w:cs="宋体"/>
          <w:kern w:val="0"/>
          <w:sz w:val="32"/>
          <w:szCs w:val="32"/>
        </w:rPr>
        <w:t>2021年度</w:t>
      </w:r>
      <w:r>
        <w:rPr>
          <w:rFonts w:hint="eastAsia" w:ascii="仿宋_GB2312" w:hAnsi="宋体" w:eastAsia="仿宋_GB2312" w:cs="宋体"/>
          <w:kern w:val="0"/>
          <w:sz w:val="32"/>
          <w:szCs w:val="32"/>
          <w:lang w:val="zh-CN"/>
        </w:rPr>
        <w:t>“巾帼心向党·奋斗新征程”庆祝建党100周年系列活动暨思想政治引领项目</w:t>
      </w:r>
      <w:r>
        <w:rPr>
          <w:rFonts w:hint="eastAsia" w:ascii="仿宋_GB2312" w:hAnsi="宋体" w:eastAsia="仿宋_GB2312" w:cs="宋体"/>
          <w:kern w:val="0"/>
          <w:sz w:val="32"/>
          <w:szCs w:val="32"/>
        </w:rPr>
        <w:t>的总结</w:t>
      </w:r>
      <w:r>
        <w:rPr>
          <w:rFonts w:hint="eastAsia" w:ascii="仿宋_GB2312" w:hAnsi="宋体" w:eastAsia="仿宋_GB2312" w:cs="宋体"/>
          <w:kern w:val="0"/>
          <w:sz w:val="32"/>
          <w:szCs w:val="32"/>
          <w:lang w:val="zh-CN"/>
        </w:rPr>
        <w:t>》和现场评价情况汇总相关数据，按照绩效评价指标体系分析整体绩效评价情况，进行定量定性分析，形成评价初步结论；撰写绩效评价报告初稿，并进行评价机构内部复核，根据复核意见对评价报告进行修正完善，形成绩效评价报告，</w:t>
      </w:r>
      <w:r>
        <w:rPr>
          <w:rFonts w:hint="eastAsia" w:ascii="仿宋_GB2312" w:hAnsi="宋体" w:eastAsia="仿宋_GB2312" w:cs="宋体"/>
          <w:kern w:val="0"/>
          <w:sz w:val="32"/>
          <w:szCs w:val="32"/>
        </w:rPr>
        <w:t>并</w:t>
      </w:r>
      <w:r>
        <w:rPr>
          <w:rFonts w:hint="eastAsia" w:ascii="仿宋_GB2312" w:hAnsi="宋体" w:eastAsia="仿宋_GB2312" w:cs="宋体"/>
          <w:kern w:val="0"/>
          <w:sz w:val="32"/>
          <w:szCs w:val="32"/>
          <w:lang w:val="zh-CN"/>
        </w:rPr>
        <w:t>出具正式绩效评价报告。</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84" w:name="_Toc10624079"/>
      <w:r>
        <w:rPr>
          <w:rFonts w:hint="eastAsia" w:ascii="黑体" w:hAnsi="黑体" w:eastAsia="黑体"/>
          <w:bCs w:val="0"/>
          <w:color w:val="000000"/>
          <w:kern w:val="2"/>
          <w:sz w:val="32"/>
          <w:szCs w:val="32"/>
          <w:lang w:val="zh-CN"/>
        </w:rPr>
        <w:t>三、绩效评价依据、指标体系、评价标准及评价方法</w:t>
      </w:r>
      <w:bookmarkEnd w:id="84"/>
    </w:p>
    <w:p>
      <w:pPr>
        <w:pStyle w:val="3"/>
        <w:adjustRightInd w:val="0"/>
        <w:snapToGrid w:val="0"/>
        <w:spacing w:beforeLines="0" w:after="0" w:line="360" w:lineRule="auto"/>
        <w:ind w:firstLine="565" w:firstLineChars="176"/>
        <w:rPr>
          <w:rFonts w:ascii="楷体_GB2312"/>
        </w:rPr>
      </w:pPr>
      <w:bookmarkStart w:id="85" w:name="_Toc10624080"/>
      <w:r>
        <w:rPr>
          <w:rFonts w:hint="eastAsia" w:ascii="楷体_GB2312"/>
        </w:rPr>
        <w:t>（一）绩效评价依据</w:t>
      </w:r>
      <w:bookmarkEnd w:id="85"/>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1.四川省妇女联合会《关于进一步做好申报2021年度四川省妇女儿童事业发展专项资金的通知》（川妇知[2020]48号）；</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2.阿坝州财政局发布《关于下达2021年度妇女儿童事业发展专项资金的通知》（阿州财行〔2021〕6号）；</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3.四川省财政厅四川省妇女联合会关于印发《四川省妇女儿童事业发展专项资金管理办法》的通知（川财行〔2017〕13号）；</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宋体" w:eastAsia="仿宋_GB2312" w:cs="宋体"/>
          <w:kern w:val="0"/>
          <w:sz w:val="32"/>
          <w:szCs w:val="32"/>
          <w:lang w:val="zh-CN"/>
        </w:rPr>
        <w:t>阿坝州妇联</w:t>
      </w:r>
      <w:r>
        <w:rPr>
          <w:rFonts w:hint="eastAsia" w:ascii="仿宋_GB2312" w:hAnsi="宋体" w:eastAsia="仿宋_GB2312" w:cs="宋体"/>
          <w:kern w:val="0"/>
          <w:sz w:val="32"/>
          <w:szCs w:val="32"/>
        </w:rPr>
        <w:t>财务报销制度；</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宋体" w:eastAsia="仿宋_GB2312" w:cs="宋体"/>
          <w:kern w:val="0"/>
          <w:sz w:val="32"/>
          <w:szCs w:val="32"/>
          <w:lang w:val="zh-CN"/>
        </w:rPr>
        <w:t>阿坝州妇联《四川省妇女儿童事业发展专项—“巾帼心向党·奋斗新征程”庆祝建党100周年系列活动暨思想政治引领项目资金管理办法》；</w:t>
      </w:r>
    </w:p>
    <w:p>
      <w:pPr>
        <w:overflowPunct w:val="0"/>
        <w:adjustRightInd w:val="0"/>
        <w:snapToGrid w:val="0"/>
        <w:spacing w:line="360" w:lineRule="auto"/>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6.</w:t>
      </w:r>
      <w:r>
        <w:rPr>
          <w:rFonts w:hint="eastAsia" w:ascii="仿宋_GB2312" w:hAnsi="仿宋_GB2312" w:eastAsia="仿宋_GB2312" w:cs="仿宋_GB2312"/>
          <w:sz w:val="32"/>
          <w:szCs w:val="32"/>
        </w:rPr>
        <w:t>四川省妇女联合会《关于2021年度实施四川省妇女儿童事业发展专项资金项目》的通知（川妇知[2021]2号）；</w:t>
      </w:r>
    </w:p>
    <w:p>
      <w:pPr>
        <w:overflowPunct w:val="0"/>
        <w:adjustRightInd w:val="0"/>
        <w:snapToGrid w:val="0"/>
        <w:spacing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7.阿坝州妇联党组会议纪要；</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仿宋_GB2312" w:eastAsia="仿宋_GB2312" w:cs="仿宋_GB2312"/>
          <w:sz w:val="32"/>
          <w:szCs w:val="32"/>
        </w:rPr>
        <w:t>8.</w:t>
      </w:r>
      <w:r>
        <w:rPr>
          <w:rFonts w:hint="eastAsia" w:ascii="仿宋_GB2312" w:hAnsi="宋体" w:eastAsia="仿宋_GB2312" w:cs="宋体"/>
          <w:kern w:val="0"/>
          <w:sz w:val="32"/>
          <w:szCs w:val="32"/>
          <w:lang w:val="zh-CN"/>
        </w:rPr>
        <w:t>阿坝州妇联《关于</w:t>
      </w:r>
      <w:r>
        <w:rPr>
          <w:rFonts w:hint="eastAsia" w:ascii="仿宋_GB2312" w:hAnsi="宋体" w:eastAsia="仿宋_GB2312" w:cs="宋体"/>
          <w:kern w:val="0"/>
          <w:sz w:val="32"/>
          <w:szCs w:val="32"/>
        </w:rPr>
        <w:t>2021年度</w:t>
      </w:r>
      <w:r>
        <w:rPr>
          <w:rFonts w:hint="eastAsia" w:ascii="仿宋_GB2312" w:hAnsi="宋体" w:eastAsia="仿宋_GB2312" w:cs="宋体"/>
          <w:kern w:val="0"/>
          <w:sz w:val="32"/>
          <w:szCs w:val="32"/>
          <w:lang w:val="zh-CN"/>
        </w:rPr>
        <w:t>“巾帼心向党·奋斗新征程”庆祝建党100周年系列活动暨思想政治引领项目</w:t>
      </w:r>
      <w:r>
        <w:rPr>
          <w:rFonts w:hint="eastAsia" w:ascii="仿宋_GB2312" w:hAnsi="宋体" w:eastAsia="仿宋_GB2312" w:cs="宋体"/>
          <w:kern w:val="0"/>
          <w:sz w:val="32"/>
          <w:szCs w:val="32"/>
        </w:rPr>
        <w:t>的总结；</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阿坝州妇联“巾帼心向党·奋斗新征程”庆祝建党100周年系列活动暨思想政治引领项目</w:t>
      </w:r>
      <w:r>
        <w:rPr>
          <w:rFonts w:hint="eastAsia" w:ascii="仿宋_GB2312" w:hAnsi="宋体" w:eastAsia="仿宋_GB2312" w:cs="宋体"/>
          <w:kern w:val="0"/>
          <w:sz w:val="32"/>
          <w:szCs w:val="32"/>
        </w:rPr>
        <w:t>实施方案;</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10</w:t>
      </w:r>
      <w:r>
        <w:rPr>
          <w:rFonts w:hint="eastAsia" w:ascii="仿宋_GB2312" w:hAnsi="宋体" w:eastAsia="仿宋_GB2312" w:cs="宋体"/>
          <w:kern w:val="0"/>
          <w:sz w:val="32"/>
          <w:szCs w:val="32"/>
          <w:lang w:val="zh-CN"/>
        </w:rPr>
        <w:t>.阿坝州妇联与我所签订的《业务约定书》。</w:t>
      </w:r>
    </w:p>
    <w:p>
      <w:pPr>
        <w:pStyle w:val="3"/>
        <w:adjustRightInd w:val="0"/>
        <w:snapToGrid w:val="0"/>
        <w:spacing w:beforeLines="0" w:after="0" w:line="360" w:lineRule="auto"/>
        <w:ind w:firstLine="565" w:firstLineChars="176"/>
        <w:rPr>
          <w:rFonts w:ascii="楷体_GB2312"/>
        </w:rPr>
      </w:pPr>
      <w:bookmarkStart w:id="86" w:name="_Toc10624081"/>
      <w:r>
        <w:rPr>
          <w:rFonts w:hint="eastAsia" w:ascii="楷体_GB2312"/>
        </w:rPr>
        <w:t>（二）绩效评价指标体系</w:t>
      </w:r>
      <w:bookmarkEnd w:id="86"/>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本次审计设定的评价指标及权重如下：</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1.项目完成：含数量指标、质量指标、时效指标和成本指标四个二级指标（权重</w:t>
      </w:r>
      <w:r>
        <w:rPr>
          <w:rFonts w:hint="eastAsia" w:ascii="仿宋_GB2312" w:hAnsi="宋体" w:eastAsia="仿宋_GB2312" w:cs="宋体"/>
          <w:kern w:val="0"/>
          <w:sz w:val="32"/>
          <w:szCs w:val="32"/>
        </w:rPr>
        <w:t>50</w:t>
      </w:r>
      <w:r>
        <w:rPr>
          <w:rFonts w:hint="eastAsia" w:ascii="仿宋_GB2312" w:hAnsi="宋体" w:eastAsia="仿宋_GB2312" w:cs="宋体"/>
          <w:kern w:val="0"/>
          <w:sz w:val="32"/>
          <w:szCs w:val="32"/>
          <w:lang w:val="zh-CN"/>
        </w:rPr>
        <w:t>分）；</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2.项目效益：含经济效益、社会效益、生态效益和可持续影响指标四个二级指标（权重</w:t>
      </w:r>
      <w:r>
        <w:rPr>
          <w:rFonts w:hint="eastAsia" w:ascii="仿宋_GB2312" w:hAnsi="宋体" w:eastAsia="仿宋_GB2312" w:cs="宋体"/>
          <w:kern w:val="0"/>
          <w:sz w:val="32"/>
          <w:szCs w:val="32"/>
        </w:rPr>
        <w:t>30</w:t>
      </w:r>
      <w:r>
        <w:rPr>
          <w:rFonts w:hint="eastAsia" w:ascii="仿宋_GB2312" w:hAnsi="宋体" w:eastAsia="仿宋_GB2312" w:cs="宋体"/>
          <w:kern w:val="0"/>
          <w:sz w:val="32"/>
          <w:szCs w:val="32"/>
          <w:lang w:val="zh-CN"/>
        </w:rPr>
        <w:t>分）；</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3.项目满意度：主要测评项目相关人员满意度（权重20分）。</w:t>
      </w:r>
    </w:p>
    <w:p>
      <w:pPr>
        <w:pStyle w:val="3"/>
        <w:adjustRightInd w:val="0"/>
        <w:snapToGrid w:val="0"/>
        <w:spacing w:beforeLines="0" w:after="0" w:line="360" w:lineRule="auto"/>
        <w:ind w:firstLine="565" w:firstLineChars="176"/>
        <w:rPr>
          <w:rFonts w:ascii="楷体_GB2312"/>
        </w:rPr>
      </w:pPr>
      <w:bookmarkStart w:id="87" w:name="_Toc10624082"/>
      <w:r>
        <w:rPr>
          <w:rFonts w:hint="eastAsia" w:ascii="楷体_GB2312"/>
        </w:rPr>
        <w:t>（三）评价标准</w:t>
      </w:r>
      <w:bookmarkEnd w:id="87"/>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1.计划标准，即目标计划、工作量完成计划等；</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2.合同约定标准。</w:t>
      </w:r>
    </w:p>
    <w:p>
      <w:pPr>
        <w:pStyle w:val="3"/>
        <w:adjustRightInd w:val="0"/>
        <w:snapToGrid w:val="0"/>
        <w:spacing w:beforeLines="0" w:after="0" w:line="360" w:lineRule="auto"/>
        <w:ind w:firstLine="565" w:firstLineChars="176"/>
        <w:rPr>
          <w:rFonts w:ascii="楷体_GB2312"/>
        </w:rPr>
      </w:pPr>
      <w:bookmarkStart w:id="88" w:name="_Toc10624083"/>
      <w:r>
        <w:rPr>
          <w:rFonts w:hint="eastAsia" w:ascii="楷体_GB2312"/>
        </w:rPr>
        <w:t>（四）财政项目支出绩效评价方法</w:t>
      </w:r>
      <w:bookmarkEnd w:id="88"/>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根据财政项目支出绩效评价的依据和原则，我们主要采用了目标预定与实施效果比较法，兼以实地调研和发放问卷调查法等评价方法。</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89" w:name="_Toc10624084"/>
      <w:r>
        <w:rPr>
          <w:rFonts w:hint="eastAsia" w:ascii="黑体" w:hAnsi="黑体" w:eastAsia="黑体"/>
          <w:bCs w:val="0"/>
          <w:color w:val="000000"/>
          <w:kern w:val="2"/>
          <w:sz w:val="32"/>
          <w:szCs w:val="32"/>
          <w:lang w:val="zh-CN"/>
        </w:rPr>
        <w:t>四、绩效目标的实现程度</w:t>
      </w:r>
      <w:bookmarkEnd w:id="89"/>
    </w:p>
    <w:p>
      <w:pPr>
        <w:pStyle w:val="3"/>
        <w:adjustRightInd w:val="0"/>
        <w:snapToGrid w:val="0"/>
        <w:spacing w:beforeLines="0" w:after="0" w:line="360" w:lineRule="auto"/>
        <w:ind w:firstLine="565" w:firstLineChars="176"/>
        <w:rPr>
          <w:rFonts w:ascii="楷体_GB2312"/>
        </w:rPr>
      </w:pPr>
      <w:bookmarkStart w:id="90" w:name="_Toc10624085"/>
      <w:bookmarkStart w:id="91" w:name="_Toc9865190"/>
      <w:r>
        <w:rPr>
          <w:rFonts w:hint="eastAsia" w:ascii="楷体_GB2312"/>
        </w:rPr>
        <w:t>（一）项目完成情况分析</w:t>
      </w:r>
      <w:bookmarkEnd w:id="90"/>
      <w:bookmarkEnd w:id="91"/>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1.项目完成数量分析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 w:hAnsi="仿宋" w:eastAsia="仿宋" w:cs="仿宋"/>
          <w:sz w:val="32"/>
          <w:szCs w:val="32"/>
        </w:rPr>
        <w:t>线上线下宣传活动覆盖了女大学生、贫困母亲、留守儿童、巾帼志愿者、广场舞姐妹等多类妇女群体。运用新媒体手段围绕妇女群众关注点在州妇联官方公众号“花开阿坝”主动设置话题、引导讨论，努力做到联系妇女群众线下有活动、有面对面交流，线上有声音、有互动、有话题，实现互动常态化、沟通零距离。线下阿坝州妇联小金县妇联联合举办关于开展“巾帼心向党·奋斗新征程”庆祝建党100周年宣讲活动。线上线下宣传覆盖人数超过1.2万人。线下阿坝州妇联小金县妇联联合举办关于开展“巾帼心向党·奋斗新征程”庆祝建党100周年宣讲活动；结合妇女思想引领宣讲活动，积极参与省妇联举办“巾帼心向党·奋斗新征程”广场舞比赛，联合红原县、马尔康市、茂县制作广场舞比赛参评视频3个；开展线上巾帼党课讲师联盟宣讲活动，联合州委党校制作专题党史学习系列课程，在州妇联官方微信公众号平台“花开阿坝”上推送课程视频；宣传活动超过4场。</w:t>
      </w:r>
      <w:r>
        <w:rPr>
          <w:rFonts w:hint="eastAsia" w:ascii="仿宋_GB2312" w:hAnsi="宋体" w:eastAsia="仿宋_GB2312" w:cs="宋体"/>
          <w:kern w:val="0"/>
          <w:sz w:val="32"/>
          <w:szCs w:val="32"/>
          <w:lang w:val="zh-CN"/>
        </w:rPr>
        <w:t>完成了预期指标值。</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2.项目完成质量情况分析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活动的开展，亮出妇联旗帜、发出妇联声音，凝聚妇女力量，不断增强广大妇女贯彻落实的自觉性和坚定性，团结引领广大妇女群众听党话、跟党走，凝聚全州妇女投身“一州两区三家园”建设。加强“两新”组织女性、女大学生、广场舞姐妹等重点群体的思想政治引领。将巾帼志愿服务与项目实施结合起来，建立巾帼志愿服务队深入城乡社区开展巾帼志愿服务；运用新媒体手段围绕妇女群众关注点在妇联官方公众号主动设置话题、引导讨论，努力做到联系妇女群众线下有活动、有面对面交流，线上有声音、有互动、有话题，实现互动常态化、沟通零距离；努力建设“网上妇女之家”，通过建立不同妇女微信群，进一步拉近了姐妹们的距离，做到了各级妇联组织与基层妇女姐妹面对面交流。通过开展线上线下活动，活动宣传覆盖面广、受益妇女群众多、效果好。基本完成了预期指标值。</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3.项目完成时效分析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bookmarkStart w:id="92" w:name="_Hlk9864041"/>
      <w:r>
        <w:rPr>
          <w:rFonts w:hint="eastAsia" w:ascii="仿宋_GB2312" w:hAnsi="宋体" w:eastAsia="仿宋_GB2312" w:cs="宋体"/>
          <w:kern w:val="0"/>
          <w:sz w:val="32"/>
          <w:szCs w:val="32"/>
          <w:lang w:val="zh-CN"/>
        </w:rPr>
        <w:t>“巾帼心向党·奋斗新征程”庆祝建党100周年系列活动暨思想政治引领项目于2021年底完成，按期完成</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zh-CN"/>
        </w:rPr>
        <w:t>基本完成了预期指标值。</w:t>
      </w:r>
    </w:p>
    <w:bookmarkEnd w:id="92"/>
    <w:p>
      <w:pPr>
        <w:pStyle w:val="3"/>
        <w:adjustRightInd w:val="0"/>
        <w:snapToGrid w:val="0"/>
        <w:spacing w:beforeLines="0" w:after="0" w:line="360" w:lineRule="auto"/>
        <w:ind w:firstLine="565" w:firstLineChars="176"/>
        <w:rPr>
          <w:rFonts w:ascii="楷体_GB2312"/>
        </w:rPr>
      </w:pPr>
      <w:bookmarkStart w:id="93" w:name="_Toc9865191"/>
      <w:bookmarkStart w:id="94" w:name="_Toc10624086"/>
      <w:r>
        <w:rPr>
          <w:rFonts w:hint="eastAsia" w:ascii="楷体_GB2312"/>
        </w:rPr>
        <w:t>（二）项目效果和效益情况分析</w:t>
      </w:r>
      <w:bookmarkEnd w:id="93"/>
      <w:bookmarkEnd w:id="94"/>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1.项目社会效益分析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以“巾帼心向党·奋斗新征程”为主题，开展群众性宣传活动、深化巾帼大宣讲内容，有效引导县妇女群众知党情、感党恩、跟党走；进一步带领妇女同胞凝心聚力，激发广大妇女爱岗敬业、无私奉献的工作热情，推动全县妇联工作再上新台阶。通过开展妇女思想政治引领项目，吸纳各行各业更多的妇女关注并参与到全州妇女工作中来；广泛开展“巾帼心向党·奋斗新征程”等群众性宣传教育活动，激励妇女在全面建成小康社会、在夺取疫情防控阻击战和实现今年经济社会发展目标的双胜利中建功立业。通过项目实施，妇联组织更好地发挥了桥梁纽带作用，进一步引导了妇女群众的家国情怀、爱国热情、民族精神。基本完成了预期指标值。</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2.项目生态效益分析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开展“巾帼心向党·奋斗新征程”庆祝建党100周年系列活动暨思想政治引领大宣讲，引导妇女群众感党恩、听党话、跟党走，激发广大妇女群众爱国爱党的情怀,但在引领大宣讲活动时未对高原生态脆弱区的环保公益进行宣传。</w:t>
      </w:r>
      <w:r>
        <w:rPr>
          <w:rFonts w:hint="eastAsia" w:ascii="仿宋_GB2312" w:hAnsi="宋体" w:eastAsia="仿宋_GB2312" w:cs="宋体"/>
          <w:kern w:val="0"/>
          <w:sz w:val="32"/>
          <w:szCs w:val="32"/>
        </w:rPr>
        <w:t>基本</w:t>
      </w:r>
      <w:r>
        <w:rPr>
          <w:rFonts w:hint="eastAsia" w:ascii="仿宋_GB2312" w:hAnsi="宋体" w:eastAsia="仿宋_GB2312" w:cs="宋体"/>
          <w:kern w:val="0"/>
          <w:sz w:val="32"/>
          <w:szCs w:val="32"/>
          <w:lang w:val="zh-CN"/>
        </w:rPr>
        <w:t>完成了预期指标值。</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3.项目可持续影响分析</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通过思想引领，我州妇女群众思想状况总体更加积极、健康、向上，家庭更加和睦，社会更加和谐稳定，激发了全州妇女姐妹的正能量。完成了预期指标值。</w:t>
      </w:r>
    </w:p>
    <w:p>
      <w:pPr>
        <w:pStyle w:val="3"/>
        <w:adjustRightInd w:val="0"/>
        <w:snapToGrid w:val="0"/>
        <w:spacing w:beforeLines="0" w:after="0" w:line="360" w:lineRule="auto"/>
        <w:ind w:firstLine="565" w:firstLineChars="176"/>
        <w:rPr>
          <w:rFonts w:ascii="楷体_GB2312"/>
        </w:rPr>
      </w:pPr>
      <w:bookmarkStart w:id="95" w:name="_Toc10624087"/>
      <w:bookmarkStart w:id="96" w:name="_Toc9865192"/>
      <w:r>
        <w:rPr>
          <w:rFonts w:hint="eastAsia" w:ascii="楷体_GB2312"/>
        </w:rPr>
        <w:t>（三）满意度情况分析</w:t>
      </w:r>
      <w:bookmarkEnd w:id="95"/>
      <w:bookmarkEnd w:id="96"/>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此次发放113份问卷调查表，</w:t>
      </w:r>
      <w:r>
        <w:rPr>
          <w:rFonts w:hint="eastAsia" w:ascii="仿宋_GB2312" w:hAnsi="宋体" w:eastAsia="仿宋_GB2312" w:cs="宋体"/>
          <w:kern w:val="0"/>
          <w:sz w:val="32"/>
          <w:szCs w:val="32"/>
          <w:lang w:val="zh-CN"/>
        </w:rPr>
        <w:t>通过问卷调查，“巾帼心向党·奋斗新征程”庆祝建党100周年系列活动暨思想政治引领项目的实施满意度达到</w:t>
      </w: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0%以上。完成了预期指标值。</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五、评价结论</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我们根据本次专项审计的评价指标体系，对阿坝州妇联2021年四川省妇女儿童事业发展专项资金“巾帼心向党·奋斗新征程”庆祝建党100周年系列活动暨思想政治引领项目的资金支出进行了评价打分，综合得分9</w:t>
      </w:r>
      <w:r>
        <w:rPr>
          <w:rFonts w:hint="eastAsia" w:ascii="仿宋_GB2312" w:hAnsi="宋体" w:eastAsia="仿宋_GB2312" w:cs="宋体"/>
          <w:kern w:val="0"/>
          <w:sz w:val="32"/>
          <w:szCs w:val="32"/>
        </w:rPr>
        <w:t>8</w:t>
      </w:r>
      <w:r>
        <w:rPr>
          <w:rFonts w:hint="eastAsia" w:ascii="仿宋_GB2312" w:hAnsi="宋体" w:eastAsia="仿宋_GB2312" w:cs="宋体"/>
          <w:kern w:val="0"/>
          <w:sz w:val="32"/>
          <w:szCs w:val="32"/>
          <w:lang w:val="zh-CN"/>
        </w:rPr>
        <w:t>分。项目完成较好，具体如下：</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u w:val="single"/>
          <w:lang w:val="zh-CN"/>
        </w:rPr>
      </w:pPr>
      <w:r>
        <w:rPr>
          <w:rFonts w:hint="eastAsia" w:ascii="仿宋_GB2312" w:hAnsi="宋体" w:eastAsia="仿宋_GB2312" w:cs="宋体"/>
          <w:kern w:val="0"/>
          <w:sz w:val="32"/>
          <w:szCs w:val="32"/>
          <w:lang w:val="zh-CN"/>
        </w:rPr>
        <w:t>1.项目完成：标准分值5</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zh-CN"/>
        </w:rPr>
        <w:t>分，评价实际得分</w:t>
      </w:r>
      <w:r>
        <w:rPr>
          <w:rFonts w:hint="eastAsia" w:ascii="仿宋_GB2312" w:hAnsi="宋体" w:eastAsia="仿宋_GB2312" w:cs="宋体"/>
          <w:kern w:val="0"/>
          <w:sz w:val="32"/>
          <w:szCs w:val="32"/>
        </w:rPr>
        <w:t>50</w:t>
      </w:r>
      <w:r>
        <w:rPr>
          <w:rFonts w:hint="eastAsia" w:ascii="仿宋_GB2312" w:hAnsi="宋体" w:eastAsia="仿宋_GB2312" w:cs="宋体"/>
          <w:kern w:val="0"/>
          <w:sz w:val="32"/>
          <w:szCs w:val="32"/>
          <w:lang w:val="zh-CN"/>
        </w:rPr>
        <w:t>分；</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2.项目效益：标准分值</w:t>
      </w:r>
      <w:r>
        <w:rPr>
          <w:rFonts w:hint="eastAsia" w:ascii="仿宋_GB2312" w:hAnsi="宋体" w:eastAsia="仿宋_GB2312" w:cs="宋体"/>
          <w:kern w:val="0"/>
          <w:sz w:val="32"/>
          <w:szCs w:val="32"/>
        </w:rPr>
        <w:t>30</w:t>
      </w:r>
      <w:r>
        <w:rPr>
          <w:rFonts w:hint="eastAsia" w:ascii="仿宋_GB2312" w:hAnsi="宋体" w:eastAsia="仿宋_GB2312" w:cs="宋体"/>
          <w:kern w:val="0"/>
          <w:sz w:val="32"/>
          <w:szCs w:val="32"/>
          <w:lang w:val="zh-CN"/>
        </w:rPr>
        <w:t>分，评价实际得分</w:t>
      </w:r>
      <w:r>
        <w:rPr>
          <w:rFonts w:hint="eastAsia" w:ascii="仿宋_GB2312" w:hAnsi="宋体" w:eastAsia="仿宋_GB2312" w:cs="宋体"/>
          <w:kern w:val="0"/>
          <w:sz w:val="32"/>
          <w:szCs w:val="32"/>
        </w:rPr>
        <w:t>28</w:t>
      </w:r>
      <w:r>
        <w:rPr>
          <w:rFonts w:hint="eastAsia" w:ascii="仿宋_GB2312" w:hAnsi="宋体" w:eastAsia="仿宋_GB2312" w:cs="宋体"/>
          <w:kern w:val="0"/>
          <w:sz w:val="32"/>
          <w:szCs w:val="32"/>
          <w:lang w:val="zh-CN"/>
        </w:rPr>
        <w:t>分；</w:t>
      </w:r>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3.项目满意度：标准分值20分，评价实际得分20分。</w:t>
      </w:r>
    </w:p>
    <w:p>
      <w:pPr>
        <w:overflowPunct w:val="0"/>
        <w:adjustRightInd w:val="0"/>
        <w:snapToGrid w:val="0"/>
        <w:spacing w:line="360" w:lineRule="auto"/>
        <w:ind w:firstLine="640" w:firstLineChars="200"/>
        <w:textAlignment w:val="baseline"/>
        <w:rPr>
          <w:rFonts w:ascii="仿宋_GB2312" w:hAnsi="宋体" w:eastAsia="仿宋_GB2312" w:cs="宋体"/>
          <w:color w:val="FF0000"/>
          <w:kern w:val="0"/>
          <w:sz w:val="32"/>
          <w:szCs w:val="32"/>
          <w:lang w:val="zh-CN"/>
        </w:rPr>
      </w:pPr>
      <w:r>
        <w:rPr>
          <w:rFonts w:hint="eastAsia" w:ascii="仿宋_GB2312" w:hAnsi="宋体" w:eastAsia="仿宋_GB2312" w:cs="宋体"/>
          <w:kern w:val="0"/>
          <w:sz w:val="32"/>
          <w:szCs w:val="32"/>
          <w:lang w:val="zh-CN"/>
        </w:rPr>
        <w:t>阿坝州妇联2021年四川省妇女儿童事业发展专项资金“巾帼心向党·奋斗新征程”庆祝建党100周年系列活动暨思想政治引领项目</w:t>
      </w:r>
      <w:r>
        <w:rPr>
          <w:rFonts w:hint="eastAsia" w:ascii="仿宋_GB2312" w:hAnsi="宋体" w:eastAsia="仿宋_GB2312" w:cs="宋体"/>
          <w:kern w:val="0"/>
          <w:sz w:val="32"/>
          <w:szCs w:val="32"/>
        </w:rPr>
        <w:t>已基本</w:t>
      </w:r>
      <w:r>
        <w:rPr>
          <w:rFonts w:hint="eastAsia" w:ascii="仿宋_GB2312" w:hAnsi="宋体" w:eastAsia="仿宋_GB2312" w:cs="宋体"/>
          <w:kern w:val="0"/>
          <w:sz w:val="32"/>
          <w:szCs w:val="32"/>
          <w:lang w:val="zh-CN"/>
        </w:rPr>
        <w:t>完成了预期指标值，</w:t>
      </w:r>
      <w:r>
        <w:rPr>
          <w:rFonts w:hint="eastAsia" w:ascii="仿宋_GB2312" w:hAnsi="宋体" w:eastAsia="仿宋_GB2312" w:cs="宋体"/>
          <w:kern w:val="0"/>
          <w:sz w:val="32"/>
          <w:szCs w:val="32"/>
        </w:rPr>
        <w:t>但</w:t>
      </w:r>
      <w:r>
        <w:rPr>
          <w:rFonts w:hint="eastAsia" w:ascii="仿宋_GB2312" w:hAnsi="宋体" w:eastAsia="仿宋_GB2312" w:cs="宋体"/>
          <w:kern w:val="0"/>
          <w:sz w:val="32"/>
          <w:szCs w:val="32"/>
          <w:lang w:val="zh-CN"/>
        </w:rPr>
        <w:t>通过开展“巾帼心向党·奋斗新征程”庆祝建党100周年系列活动暨思想政治引领大宣讲，引导妇女群众感党恩、听党话、跟党走，激发广大妇女群众爱国爱党的情怀,但在引领大宣讲活动时未对高原生态脆弱区的环保公益进行宣传。</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六、存在的主要问题</w:t>
      </w:r>
    </w:p>
    <w:p>
      <w:pPr>
        <w:overflowPunct w:val="0"/>
        <w:adjustRightInd w:val="0"/>
        <w:snapToGrid w:val="0"/>
        <w:spacing w:line="360" w:lineRule="auto"/>
        <w:ind w:firstLine="640" w:firstLineChars="200"/>
        <w:textAlignment w:val="baseline"/>
        <w:rPr>
          <w:rFonts w:ascii="仿宋_GB2312" w:hAnsi="宋体" w:eastAsia="仿宋_GB2312" w:cs="仿宋_GB2312"/>
          <w:bCs/>
          <w:sz w:val="32"/>
          <w:szCs w:val="32"/>
        </w:rPr>
      </w:pPr>
      <w:r>
        <w:rPr>
          <w:rFonts w:hint="eastAsia" w:ascii="仿宋_GB2312" w:hAnsi="宋体" w:eastAsia="仿宋_GB2312" w:cs="宋体"/>
          <w:kern w:val="0"/>
          <w:sz w:val="32"/>
          <w:szCs w:val="32"/>
          <w:lang w:val="zh-CN"/>
        </w:rPr>
        <w:t>开展“巾帼心向党·奋斗新征程”庆祝建党100周年系列活动暨思想政治引领大宣讲，引导妇女群众感党恩、听党话、跟党走，激发广大妇女群众爱国爱党的情怀,但在引领大宣讲活动时未对高原生态脆弱区的环保公益进行宣传。</w:t>
      </w:r>
    </w:p>
    <w:p>
      <w:pPr>
        <w:pStyle w:val="2"/>
        <w:adjustRightInd w:val="0"/>
        <w:snapToGrid w:val="0"/>
        <w:spacing w:before="0" w:after="0" w:line="360" w:lineRule="auto"/>
        <w:ind w:firstLine="567"/>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七、建议</w:t>
      </w:r>
    </w:p>
    <w:p>
      <w:pPr>
        <w:adjustRightInd w:val="0"/>
        <w:snapToGrid w:val="0"/>
        <w:spacing w:line="360" w:lineRule="auto"/>
        <w:ind w:firstLine="640" w:firstLineChars="200"/>
        <w:rPr>
          <w:rFonts w:ascii="仿宋_GB2312" w:hAnsi="宋体" w:eastAsia="仿宋_GB2312" w:cs="仿宋_GB2312"/>
          <w:bCs/>
          <w:sz w:val="32"/>
          <w:szCs w:val="32"/>
        </w:rPr>
      </w:pPr>
      <w:r>
        <w:rPr>
          <w:rFonts w:hint="eastAsia" w:ascii="仿宋_GB2312" w:hAnsi="宋体" w:eastAsia="仿宋_GB2312" w:cs="仿宋_GB2312"/>
          <w:bCs/>
          <w:sz w:val="32"/>
          <w:szCs w:val="32"/>
        </w:rPr>
        <w:t>在组织妇联活动前加大对各项活动的宣传力度，进一步激活妇女思想政治引领工作，引领妇女积极投身高原生态脆弱区的环保公益宣传，倡导绿色环保，</w:t>
      </w:r>
      <w:r>
        <w:rPr>
          <w:rFonts w:ascii="仿宋_GB2312" w:hAnsi="宋体" w:eastAsia="仿宋_GB2312" w:cs="仿宋_GB2312"/>
          <w:bCs/>
          <w:sz w:val="32"/>
          <w:szCs w:val="32"/>
        </w:rPr>
        <w:t>以实际行动持之以恒保护长江、黄河上游生态平衡，为我州创建全国生态示范州提供强劲引领，奉献巾帼力量</w:t>
      </w:r>
      <w:r>
        <w:rPr>
          <w:rFonts w:hint="eastAsia" w:ascii="仿宋_GB2312" w:hAnsi="宋体" w:eastAsia="仿宋_GB2312" w:cs="仿宋_GB2312"/>
          <w:bCs/>
          <w:sz w:val="32"/>
          <w:szCs w:val="32"/>
        </w:rPr>
        <w:t>。</w:t>
      </w:r>
    </w:p>
    <w:p>
      <w:pPr>
        <w:pStyle w:val="2"/>
        <w:adjustRightInd w:val="0"/>
        <w:snapToGrid w:val="0"/>
        <w:spacing w:before="0" w:after="0" w:line="360" w:lineRule="auto"/>
        <w:ind w:firstLine="567"/>
        <w:rPr>
          <w:rFonts w:ascii="黑体" w:hAnsi="黑体" w:eastAsia="黑体" w:cs="仿宋_GB2312"/>
          <w:b w:val="0"/>
          <w:bCs w:val="0"/>
          <w:sz w:val="32"/>
          <w:szCs w:val="32"/>
        </w:rPr>
      </w:pPr>
      <w:bookmarkStart w:id="97" w:name="_Toc10624091"/>
      <w:r>
        <w:rPr>
          <w:rFonts w:hint="eastAsia" w:ascii="黑体" w:hAnsi="黑体" w:eastAsia="黑体"/>
          <w:bCs w:val="0"/>
          <w:color w:val="000000"/>
          <w:kern w:val="2"/>
          <w:sz w:val="32"/>
          <w:szCs w:val="32"/>
          <w:lang w:val="zh-CN"/>
        </w:rPr>
        <w:t>八、其他说明事项</w:t>
      </w:r>
      <w:bookmarkEnd w:id="97"/>
    </w:p>
    <w:p>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本财政资金绩效评价报告仅限于阿坝州妇联和相关部门了解该评价项目绩效情况之用。</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259"/>
        <w:gridCol w:w="883"/>
        <w:gridCol w:w="818"/>
        <w:gridCol w:w="817"/>
        <w:gridCol w:w="1167"/>
        <w:gridCol w:w="1701"/>
        <w:gridCol w:w="567"/>
        <w:gridCol w:w="1387"/>
        <w:gridCol w:w="236"/>
      </w:tblGrid>
      <w:tr>
        <w:tblPrEx>
          <w:tblCellMar>
            <w:top w:w="0" w:type="dxa"/>
            <w:left w:w="108" w:type="dxa"/>
            <w:bottom w:w="0" w:type="dxa"/>
            <w:right w:w="108" w:type="dxa"/>
          </w:tblCellMar>
        </w:tblPrEx>
        <w:trPr>
          <w:trHeight w:val="675" w:hRule="atLeast"/>
        </w:trPr>
        <w:tc>
          <w:tcPr>
            <w:tcW w:w="9575" w:type="dxa"/>
            <w:gridSpan w:val="9"/>
            <w:tcBorders>
              <w:top w:val="nil"/>
              <w:left w:val="nil"/>
              <w:bottom w:val="single" w:color="auto" w:sz="4" w:space="0"/>
              <w:right w:val="nil"/>
            </w:tcBorders>
            <w:shd w:val="clear" w:color="auto" w:fill="auto"/>
            <w:noWrap/>
            <w:vAlign w:val="center"/>
          </w:tcPr>
          <w:p>
            <w:pPr>
              <w:widowControl/>
              <w:jc w:val="center"/>
              <w:textAlignment w:val="center"/>
              <w:rPr>
                <w:rFonts w:ascii="方正小标宋_GBK" w:eastAsia="方正小标宋_GBK" w:cs="宋体"/>
                <w:b/>
                <w:sz w:val="44"/>
                <w:szCs w:val="44"/>
              </w:rPr>
            </w:pPr>
            <w:r>
              <w:rPr>
                <w:rFonts w:hint="eastAsia" w:ascii="方正小标宋_GBK" w:eastAsia="方正小标宋_GBK" w:cs="宋体"/>
                <w:b/>
                <w:sz w:val="44"/>
                <w:szCs w:val="44"/>
              </w:rPr>
              <w:t>2021年部门预算项目绩效目标自评</w:t>
            </w:r>
          </w:p>
          <w:p>
            <w:pPr>
              <w:spacing w:line="520" w:lineRule="exact"/>
              <w:ind w:firstLine="640"/>
              <w:jc w:val="center"/>
              <w:rPr>
                <w:rFonts w:ascii="楷体_GB2312" w:hAnsi="华文仿宋" w:eastAsia="楷体_GB2312" w:cs="华文仿宋"/>
                <w:b/>
                <w:bCs/>
                <w:sz w:val="32"/>
                <w:szCs w:val="32"/>
              </w:rPr>
            </w:pPr>
            <w:r>
              <w:rPr>
                <w:rFonts w:hint="eastAsia" w:ascii="楷体_GB2312" w:hAnsi="华文仿宋" w:eastAsia="楷体_GB2312" w:cs="华文仿宋"/>
                <w:b/>
                <w:bCs/>
                <w:sz w:val="32"/>
                <w:szCs w:val="32"/>
              </w:rPr>
              <w:t>（四川省妇女儿童事业发展专项资金）</w:t>
            </w:r>
          </w:p>
          <w:p>
            <w:pPr>
              <w:widowControl/>
              <w:jc w:val="center"/>
              <w:textAlignment w:val="center"/>
              <w:rPr>
                <w:rFonts w:ascii="宋体" w:cs="宋体"/>
                <w:b/>
                <w:sz w:val="32"/>
                <w:szCs w:val="32"/>
              </w:rPr>
            </w:pP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22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主管部门及代码</w:t>
            </w:r>
          </w:p>
        </w:tc>
        <w:tc>
          <w:tcPr>
            <w:tcW w:w="368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8"/>
                <w:szCs w:val="28"/>
              </w:rPr>
              <w:t>118101</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实施单位</w:t>
            </w:r>
          </w:p>
        </w:tc>
        <w:tc>
          <w:tcPr>
            <w:tcW w:w="19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州妇联</w:t>
            </w:r>
          </w:p>
        </w:tc>
      </w:tr>
      <w:tr>
        <w:tblPrEx>
          <w:tblCellMar>
            <w:top w:w="0" w:type="dxa"/>
            <w:left w:w="108" w:type="dxa"/>
            <w:bottom w:w="0" w:type="dxa"/>
            <w:right w:w="108" w:type="dxa"/>
          </w:tblCellMar>
        </w:tblPrEx>
        <w:trPr>
          <w:gridAfter w:val="1"/>
          <w:wAfter w:w="236" w:type="dxa"/>
          <w:trHeight w:val="341" w:hRule="atLeast"/>
        </w:trPr>
        <w:tc>
          <w:tcPr>
            <w:tcW w:w="2235"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项目预算执行情况</w:t>
            </w:r>
          </w:p>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（万元）</w:t>
            </w:r>
          </w:p>
        </w:tc>
        <w:tc>
          <w:tcPr>
            <w:tcW w:w="25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预算数：</w:t>
            </w: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3</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执行数：</w:t>
            </w:r>
          </w:p>
        </w:tc>
        <w:tc>
          <w:tcPr>
            <w:tcW w:w="19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3</w:t>
            </w:r>
          </w:p>
        </w:tc>
      </w:tr>
      <w:tr>
        <w:tblPrEx>
          <w:tblCellMar>
            <w:top w:w="0" w:type="dxa"/>
            <w:left w:w="108" w:type="dxa"/>
            <w:bottom w:w="0" w:type="dxa"/>
            <w:right w:w="108" w:type="dxa"/>
          </w:tblCellMar>
        </w:tblPrEx>
        <w:trPr>
          <w:gridAfter w:val="1"/>
          <w:wAfter w:w="236" w:type="dxa"/>
          <w:trHeight w:val="555" w:hRule="atLeast"/>
        </w:trPr>
        <w:tc>
          <w:tcPr>
            <w:tcW w:w="2235"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25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其中：财政拨款</w:t>
            </w: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3</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kern w:val="0"/>
                <w:sz w:val="24"/>
              </w:rPr>
            </w:pPr>
            <w:r>
              <w:rPr>
                <w:rFonts w:hint="eastAsia" w:ascii="仿宋_GB2312" w:eastAsia="仿宋_GB2312" w:cs="宋体"/>
                <w:kern w:val="0"/>
                <w:sz w:val="24"/>
              </w:rPr>
              <w:t>其中：财政拨款</w:t>
            </w:r>
          </w:p>
        </w:tc>
        <w:tc>
          <w:tcPr>
            <w:tcW w:w="19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3</w:t>
            </w:r>
          </w:p>
        </w:tc>
      </w:tr>
      <w:tr>
        <w:tblPrEx>
          <w:tblCellMar>
            <w:top w:w="0" w:type="dxa"/>
            <w:left w:w="108" w:type="dxa"/>
            <w:bottom w:w="0" w:type="dxa"/>
            <w:right w:w="108" w:type="dxa"/>
          </w:tblCellMar>
        </w:tblPrEx>
        <w:trPr>
          <w:gridAfter w:val="1"/>
          <w:wAfter w:w="236" w:type="dxa"/>
          <w:trHeight w:val="341" w:hRule="atLeast"/>
        </w:trPr>
        <w:tc>
          <w:tcPr>
            <w:tcW w:w="2235"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25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其他资金</w:t>
            </w: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其他资金</w:t>
            </w:r>
          </w:p>
        </w:tc>
        <w:tc>
          <w:tcPr>
            <w:tcW w:w="19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sz w:val="24"/>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textAlignment w:val="center"/>
              <w:rPr>
                <w:rFonts w:ascii="仿宋_GB2312" w:eastAsia="仿宋_GB2312" w:cs="宋体"/>
                <w:kern w:val="0"/>
                <w:sz w:val="24"/>
              </w:rPr>
            </w:pPr>
            <w:r>
              <w:rPr>
                <w:rFonts w:hint="eastAsia" w:ascii="仿宋_GB2312" w:eastAsia="仿宋_GB2312" w:cs="宋体"/>
                <w:kern w:val="0"/>
                <w:sz w:val="24"/>
              </w:rPr>
              <w:t>年度总体目标</w:t>
            </w:r>
          </w:p>
          <w:p>
            <w:pPr>
              <w:widowControl/>
              <w:spacing w:line="320" w:lineRule="exact"/>
              <w:textAlignment w:val="center"/>
              <w:rPr>
                <w:rFonts w:ascii="仿宋_GB2312" w:eastAsia="仿宋_GB2312" w:cs="宋体"/>
                <w:kern w:val="0"/>
                <w:sz w:val="24"/>
              </w:rPr>
            </w:pPr>
            <w:r>
              <w:rPr>
                <w:rFonts w:hint="eastAsia" w:ascii="仿宋_GB2312" w:eastAsia="仿宋_GB2312" w:cs="宋体"/>
                <w:kern w:val="0"/>
                <w:sz w:val="24"/>
              </w:rPr>
              <w:t>完成情况</w:t>
            </w:r>
          </w:p>
        </w:tc>
        <w:tc>
          <w:tcPr>
            <w:tcW w:w="394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预期目标</w:t>
            </w:r>
          </w:p>
        </w:tc>
        <w:tc>
          <w:tcPr>
            <w:tcW w:w="365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宋体"/>
                <w:sz w:val="24"/>
              </w:rPr>
            </w:pPr>
            <w:r>
              <w:rPr>
                <w:rFonts w:hint="eastAsia" w:ascii="仿宋_GB2312" w:eastAsia="仿宋_GB2312"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394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top"/>
              <w:rPr>
                <w:rFonts w:ascii="仿宋_GB2312" w:eastAsia="仿宋_GB2312" w:cs="宋体"/>
                <w:sz w:val="24"/>
              </w:rPr>
            </w:pPr>
            <w:r>
              <w:rPr>
                <w:rFonts w:hint="eastAsia" w:ascii="仿宋_GB2312" w:eastAsia="仿宋_GB2312" w:cs="宋体"/>
                <w:sz w:val="24"/>
              </w:rPr>
              <w:t>①覆盖3类以上不同妇女群体，人数达1.2万。②宣讲、宣传活动不少于4场。③在州妇联公众号“花开阿坝”开展妇女群众线上联动活动。</w:t>
            </w:r>
          </w:p>
        </w:tc>
        <w:tc>
          <w:tcPr>
            <w:tcW w:w="365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top"/>
              <w:rPr>
                <w:rFonts w:ascii="仿宋_GB2312" w:eastAsia="仿宋_GB2312" w:cs="宋体"/>
                <w:sz w:val="24"/>
              </w:rPr>
            </w:pPr>
            <w:r>
              <w:rPr>
                <w:rFonts w:hint="eastAsia" w:ascii="仿宋_GB2312" w:eastAsia="仿宋_GB2312" w:cs="宋体"/>
                <w:sz w:val="24"/>
              </w:rPr>
              <w:t>覆盖多类妇女群体，人数达1.2万人次，宣传活动超过4场。</w:t>
            </w:r>
            <w:r>
              <w:rPr>
                <w:rFonts w:hint="eastAsia" w:ascii="仿宋_GB2312" w:eastAsia="仿宋_GB2312" w:cs="宋体"/>
                <w:sz w:val="24"/>
                <w:lang w:val="zh-CN"/>
              </w:rPr>
              <w:t>完成了预期指标值。</w:t>
            </w:r>
          </w:p>
          <w:p>
            <w:pPr>
              <w:widowControl/>
              <w:spacing w:line="320" w:lineRule="exact"/>
              <w:jc w:val="center"/>
              <w:textAlignment w:val="top"/>
              <w:rPr>
                <w:rFonts w:ascii="仿宋_GB2312" w:eastAsia="仿宋_GB2312" w:cs="宋体"/>
                <w:sz w:val="24"/>
              </w:rPr>
            </w:pP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一级指标</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二级指标</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三级指标</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1918"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114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1：覆盖妇女群体</w:t>
            </w:r>
          </w:p>
          <w:p>
            <w:pPr>
              <w:widowControl/>
              <w:spacing w:line="36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2：覆盖人数</w:t>
            </w:r>
          </w:p>
          <w:p>
            <w:pPr>
              <w:widowControl/>
              <w:spacing w:line="36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3：线上线下活动</w:t>
            </w:r>
          </w:p>
          <w:p>
            <w:pPr>
              <w:widowControl/>
              <w:spacing w:line="36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4：巾帼志愿服务</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1.3类以上不同妇女群体；2.人数达1.2万人；3.不少于4场。</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top"/>
              <w:rPr>
                <w:rFonts w:ascii="仿宋_GB2312" w:eastAsia="仿宋_GB2312" w:cs="仿宋_GB2312"/>
                <w:sz w:val="28"/>
                <w:szCs w:val="28"/>
              </w:rPr>
            </w:pPr>
            <w:r>
              <w:rPr>
                <w:rFonts w:hint="eastAsia" w:ascii="仿宋_GB2312" w:eastAsia="仿宋_GB2312" w:cs="宋体"/>
                <w:sz w:val="24"/>
              </w:rPr>
              <w:t>覆盖多类妇女群体，人数达1.2万人次，宣传活动超过4场。</w:t>
            </w:r>
            <w:r>
              <w:rPr>
                <w:rFonts w:hint="eastAsia" w:ascii="仿宋_GB2312" w:eastAsia="仿宋_GB2312" w:cs="宋体"/>
                <w:sz w:val="24"/>
                <w:lang w:val="zh-CN"/>
              </w:rPr>
              <w:t>完成了预期指标值。</w:t>
            </w:r>
          </w:p>
        </w:tc>
      </w:tr>
      <w:tr>
        <w:tblPrEx>
          <w:tblCellMar>
            <w:top w:w="0" w:type="dxa"/>
            <w:left w:w="108" w:type="dxa"/>
            <w:bottom w:w="0" w:type="dxa"/>
            <w:right w:w="108" w:type="dxa"/>
          </w:tblCellMar>
        </w:tblPrEx>
        <w:trPr>
          <w:gridAfter w:val="1"/>
          <w:wAfter w:w="236" w:type="dxa"/>
          <w:trHeight w:val="177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114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1：亮品牌；2：强引领</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1.亮出阿坝妇联宣传品牌；2.宣传覆盖面广、受益妇女群众多、效果好、社会反响好</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形式多样，引领效果好</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114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1：完成时间；2：按时完成率</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2021年底，完成率达100%。</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100%</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eastAsia="仿宋_GB2312"/>
              </w:rPr>
            </w:pPr>
          </w:p>
        </w:tc>
        <w:tc>
          <w:tcPr>
            <w:tcW w:w="114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w:t>
            </w:r>
          </w:p>
          <w:p>
            <w:pPr>
              <w:widowControl/>
              <w:spacing w:line="320" w:lineRule="exact"/>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满意度指标</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90%</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90%</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sz w:val="28"/>
                <w:szCs w:val="28"/>
              </w:rPr>
              <w:t>9</w:t>
            </w:r>
            <w:r>
              <w:rPr>
                <w:rFonts w:hint="eastAsia" w:ascii="仿宋_GB2312" w:eastAsia="仿宋_GB2312" w:cs="仿宋_GB2312"/>
                <w:sz w:val="28"/>
                <w:szCs w:val="28"/>
                <w:lang w:val="zh-CN"/>
              </w:rPr>
              <w:t>0%以上</w:t>
            </w:r>
          </w:p>
        </w:tc>
      </w:tr>
    </w:tbl>
    <w:p>
      <w:pPr>
        <w:snapToGrid w:val="0"/>
        <w:spacing w:line="600" w:lineRule="exact"/>
        <w:ind w:firstLine="640" w:firstLineChars="200"/>
        <w:rPr>
          <w:rFonts w:ascii="仿宋_GB2312" w:eastAsia="仿宋_GB2312"/>
          <w:sz w:val="32"/>
          <w:szCs w:val="32"/>
        </w:rPr>
      </w:pPr>
    </w:p>
    <w:p>
      <w:pPr>
        <w:snapToGrid w:val="0"/>
        <w:spacing w:line="600" w:lineRule="exact"/>
        <w:rPr>
          <w:rFonts w:ascii="仿宋_GB2312" w:eastAsia="仿宋_GB2312"/>
          <w:sz w:val="32"/>
          <w:szCs w:val="32"/>
        </w:rPr>
      </w:pP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left"/>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left"/>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年度总体目标</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ind w:firstLine="560" w:firstLineChars="200"/>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效益</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ind w:firstLine="640" w:firstLineChars="200"/>
        <w:contextualSpacing/>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p>
    <w:p>
      <w:pPr>
        <w:widowControl/>
        <w:ind w:firstLine="642" w:firstLineChars="200"/>
        <w:jc w:val="left"/>
        <w:rPr>
          <w:rStyle w:val="21"/>
          <w:rFonts w:ascii="仿宋_GB2312" w:eastAsia="仿宋_GB2312"/>
          <w:sz w:val="32"/>
          <w:szCs w:val="32"/>
        </w:rPr>
      </w:pPr>
      <w:r>
        <w:rPr>
          <w:rStyle w:val="21"/>
          <w:rFonts w:hint="eastAsia" w:ascii="仿宋_GB2312" w:eastAsia="仿宋_GB2312"/>
          <w:sz w:val="32"/>
          <w:szCs w:val="32"/>
        </w:rPr>
        <w:t>备注：2021年我会不涉及100万元以上（含）特定目标类部门预算项目。</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9811"/>
      </w:tblGrid>
      <w:tr>
        <w:tblPrEx>
          <w:tblCellMar>
            <w:top w:w="0" w:type="dxa"/>
            <w:left w:w="108" w:type="dxa"/>
            <w:bottom w:w="0" w:type="dxa"/>
            <w:right w:w="108" w:type="dxa"/>
          </w:tblCellMar>
        </w:tblPrEx>
        <w:trPr>
          <w:trHeight w:val="675" w:hRule="atLeast"/>
        </w:trPr>
        <w:tc>
          <w:tcPr>
            <w:tcW w:w="9577" w:type="dxa"/>
            <w:tcBorders>
              <w:top w:val="nil"/>
              <w:left w:val="nil"/>
              <w:bottom w:val="nil"/>
              <w:right w:val="nil"/>
            </w:tcBorders>
            <w:shd w:val="clear" w:color="auto" w:fill="auto"/>
            <w:noWrap/>
            <w:vAlign w:val="center"/>
          </w:tcPr>
          <w:p>
            <w:pPr>
              <w:widowControl/>
              <w:textAlignment w:val="center"/>
              <w:rPr>
                <w:rFonts w:ascii="宋体" w:cs="宋体"/>
                <w:b/>
                <w:sz w:val="32"/>
                <w:szCs w:val="32"/>
              </w:rPr>
            </w:pPr>
          </w:p>
        </w:tc>
      </w:tr>
    </w:tbl>
    <w:p>
      <w:pPr>
        <w:widowControl/>
        <w:ind w:firstLine="880" w:firstLineChars="200"/>
        <w:jc w:val="left"/>
        <w:rPr>
          <w:rStyle w:val="21"/>
          <w:rFonts w:ascii="黑体" w:eastAsia="黑体"/>
          <w:b w:val="0"/>
        </w:rPr>
      </w:pPr>
      <w:r>
        <w:rPr>
          <w:rStyle w:val="21"/>
          <w:rFonts w:ascii="黑体" w:eastAsia="黑体"/>
          <w:b w:val="0"/>
        </w:rPr>
        <w:br w:type="page"/>
      </w:r>
    </w:p>
    <w:p>
      <w:pPr>
        <w:spacing w:line="600" w:lineRule="exact"/>
        <w:ind w:firstLine="880" w:firstLineChars="200"/>
        <w:jc w:val="center"/>
        <w:outlineLvl w:val="0"/>
        <w:rPr>
          <w:rFonts w:ascii="仿宋" w:eastAsia="仿宋"/>
        </w:rPr>
      </w:pPr>
      <w:bookmarkStart w:id="98" w:name="_Toc15396618"/>
      <w:r>
        <w:rPr>
          <w:rFonts w:hint="eastAsia" w:ascii="黑体" w:eastAsia="黑体"/>
          <w:sz w:val="44"/>
          <w:szCs w:val="44"/>
        </w:rPr>
        <w:t>第</w:t>
      </w:r>
      <w:r>
        <w:rPr>
          <w:rStyle w:val="21"/>
          <w:rFonts w:hint="eastAsia" w:ascii="黑体" w:eastAsia="黑体"/>
          <w:b w:val="0"/>
        </w:rPr>
        <w:t>五部分附表</w:t>
      </w:r>
      <w:bookmarkEnd w:id="65"/>
      <w:bookmarkEnd w:id="98"/>
      <w:bookmarkStart w:id="99" w:name="_Toc15396619"/>
    </w:p>
    <w:p>
      <w:pPr>
        <w:pStyle w:val="3"/>
        <w:spacing w:before="93"/>
        <w:ind w:firstLine="640" w:firstLineChars="200"/>
        <w:rPr>
          <w:rFonts w:ascii="仿宋" w:eastAsia="仿宋"/>
        </w:rPr>
      </w:pPr>
      <w:r>
        <w:rPr>
          <w:rFonts w:hint="eastAsia" w:ascii="仿宋" w:eastAsia="仿宋"/>
          <w:b w:val="0"/>
        </w:rPr>
        <w:t>一、收</w:t>
      </w:r>
      <w:r>
        <w:rPr>
          <w:rStyle w:val="23"/>
          <w:rFonts w:hint="eastAsia" w:ascii="仿宋" w:eastAsia="仿宋"/>
          <w:b w:val="0"/>
          <w:bCs w:val="0"/>
        </w:rPr>
        <w:t>入支出决算总表</w:t>
      </w:r>
      <w:bookmarkEnd w:id="99"/>
    </w:p>
    <w:p>
      <w:pPr>
        <w:pStyle w:val="3"/>
        <w:spacing w:before="93"/>
        <w:ind w:firstLine="640" w:firstLineChars="200"/>
        <w:rPr>
          <w:rFonts w:ascii="仿宋" w:eastAsia="仿宋"/>
        </w:rPr>
      </w:pPr>
      <w:bookmarkStart w:id="100" w:name="_Toc15396620"/>
      <w:r>
        <w:rPr>
          <w:rFonts w:hint="eastAsia" w:ascii="仿宋" w:eastAsia="仿宋"/>
          <w:b w:val="0"/>
        </w:rPr>
        <w:t>二、收</w:t>
      </w:r>
      <w:r>
        <w:rPr>
          <w:rStyle w:val="23"/>
          <w:rFonts w:hint="eastAsia" w:ascii="仿宋" w:eastAsia="仿宋"/>
          <w:b w:val="0"/>
          <w:bCs w:val="0"/>
        </w:rPr>
        <w:t>入决算表</w:t>
      </w:r>
      <w:bookmarkEnd w:id="100"/>
    </w:p>
    <w:p>
      <w:pPr>
        <w:pStyle w:val="3"/>
        <w:spacing w:before="93"/>
        <w:ind w:firstLine="640" w:firstLineChars="200"/>
        <w:rPr>
          <w:rFonts w:ascii="仿宋" w:eastAsia="仿宋"/>
        </w:rPr>
      </w:pPr>
      <w:bookmarkStart w:id="101" w:name="_Toc15396621"/>
      <w:r>
        <w:rPr>
          <w:rStyle w:val="23"/>
          <w:rFonts w:hint="eastAsia" w:ascii="仿宋" w:eastAsia="仿宋"/>
          <w:b w:val="0"/>
          <w:bCs w:val="0"/>
        </w:rPr>
        <w:t>三、</w:t>
      </w:r>
      <w:r>
        <w:rPr>
          <w:rFonts w:hint="eastAsia" w:ascii="仿宋" w:eastAsia="仿宋"/>
          <w:b w:val="0"/>
        </w:rPr>
        <w:t>支</w:t>
      </w:r>
      <w:r>
        <w:rPr>
          <w:rStyle w:val="23"/>
          <w:rFonts w:hint="eastAsia" w:ascii="仿宋" w:eastAsia="仿宋"/>
          <w:b w:val="0"/>
          <w:bCs w:val="0"/>
        </w:rPr>
        <w:t>出决算表</w:t>
      </w:r>
      <w:bookmarkEnd w:id="101"/>
    </w:p>
    <w:p>
      <w:pPr>
        <w:pStyle w:val="3"/>
        <w:spacing w:before="93"/>
        <w:ind w:firstLine="640" w:firstLineChars="200"/>
        <w:rPr>
          <w:rFonts w:ascii="仿宋" w:eastAsia="仿宋"/>
          <w:b w:val="0"/>
        </w:rPr>
      </w:pPr>
      <w:bookmarkStart w:id="102" w:name="_Toc15396622"/>
      <w:r>
        <w:rPr>
          <w:rStyle w:val="23"/>
          <w:rFonts w:hint="eastAsia" w:ascii="仿宋" w:eastAsia="仿宋"/>
          <w:b w:val="0"/>
          <w:bCs w:val="0"/>
        </w:rPr>
        <w:t>四、</w:t>
      </w:r>
      <w:r>
        <w:rPr>
          <w:rFonts w:hint="eastAsia" w:ascii="仿宋" w:eastAsia="仿宋"/>
          <w:b w:val="0"/>
        </w:rPr>
        <w:t>财</w:t>
      </w:r>
      <w:r>
        <w:rPr>
          <w:rStyle w:val="23"/>
          <w:rFonts w:hint="eastAsia" w:ascii="仿宋" w:eastAsia="仿宋"/>
          <w:b w:val="0"/>
          <w:bCs w:val="0"/>
        </w:rPr>
        <w:t>政拨款收入支出决算总表</w:t>
      </w:r>
      <w:bookmarkEnd w:id="102"/>
    </w:p>
    <w:p>
      <w:pPr>
        <w:pStyle w:val="3"/>
        <w:spacing w:before="93"/>
        <w:ind w:firstLine="640" w:firstLineChars="200"/>
        <w:rPr>
          <w:rStyle w:val="23"/>
          <w:rFonts w:ascii="仿宋" w:eastAsia="仿宋"/>
          <w:b w:val="0"/>
          <w:bCs w:val="0"/>
        </w:rPr>
      </w:pPr>
      <w:bookmarkStart w:id="103" w:name="_Toc15396623"/>
      <w:r>
        <w:rPr>
          <w:rStyle w:val="23"/>
          <w:rFonts w:hint="eastAsia" w:ascii="仿宋" w:eastAsia="仿宋"/>
          <w:b w:val="0"/>
          <w:bCs w:val="0"/>
        </w:rPr>
        <w:t>五、</w:t>
      </w:r>
      <w:r>
        <w:rPr>
          <w:rFonts w:hint="eastAsia" w:ascii="仿宋" w:eastAsia="仿宋"/>
          <w:b w:val="0"/>
        </w:rPr>
        <w:t>财</w:t>
      </w:r>
      <w:r>
        <w:rPr>
          <w:rStyle w:val="23"/>
          <w:rFonts w:hint="eastAsia" w:ascii="仿宋" w:eastAsia="仿宋"/>
          <w:b w:val="0"/>
          <w:bCs w:val="0"/>
        </w:rPr>
        <w:t>政拨款支出决算明细表</w:t>
      </w:r>
      <w:bookmarkEnd w:id="103"/>
      <w:bookmarkStart w:id="104" w:name="_Toc15396624"/>
    </w:p>
    <w:p>
      <w:pPr>
        <w:pStyle w:val="3"/>
        <w:spacing w:before="93"/>
        <w:ind w:firstLine="640" w:firstLineChars="200"/>
        <w:rPr>
          <w:rFonts w:ascii="仿宋" w:eastAsia="仿宋"/>
        </w:rPr>
      </w:pPr>
      <w:r>
        <w:rPr>
          <w:rStyle w:val="23"/>
          <w:rFonts w:hint="eastAsia" w:ascii="仿宋" w:eastAsia="仿宋"/>
          <w:b w:val="0"/>
          <w:bCs w:val="0"/>
        </w:rPr>
        <w:t>六、</w:t>
      </w:r>
      <w:r>
        <w:rPr>
          <w:rFonts w:hint="eastAsia" w:ascii="仿宋" w:eastAsia="仿宋"/>
          <w:b w:val="0"/>
        </w:rPr>
        <w:t>一</w:t>
      </w:r>
      <w:r>
        <w:rPr>
          <w:rStyle w:val="23"/>
          <w:rFonts w:hint="eastAsia" w:ascii="仿宋" w:eastAsia="仿宋"/>
          <w:b w:val="0"/>
          <w:bCs w:val="0"/>
        </w:rPr>
        <w:t>般公共预算财政拨款支出决算表</w:t>
      </w:r>
      <w:bookmarkEnd w:id="104"/>
    </w:p>
    <w:p>
      <w:pPr>
        <w:pStyle w:val="3"/>
        <w:spacing w:before="93"/>
        <w:ind w:firstLine="640" w:firstLineChars="200"/>
        <w:rPr>
          <w:rFonts w:ascii="仿宋" w:eastAsia="仿宋"/>
        </w:rPr>
      </w:pPr>
      <w:bookmarkStart w:id="105" w:name="_Toc15396625"/>
      <w:r>
        <w:rPr>
          <w:rStyle w:val="23"/>
          <w:rFonts w:hint="eastAsia" w:ascii="仿宋" w:eastAsia="仿宋"/>
          <w:b w:val="0"/>
          <w:bCs w:val="0"/>
        </w:rPr>
        <w:t>七、</w:t>
      </w:r>
      <w:r>
        <w:rPr>
          <w:rFonts w:hint="eastAsia" w:ascii="仿宋" w:eastAsia="仿宋"/>
          <w:b w:val="0"/>
        </w:rPr>
        <w:t>一</w:t>
      </w:r>
      <w:r>
        <w:rPr>
          <w:rStyle w:val="23"/>
          <w:rFonts w:hint="eastAsia" w:ascii="仿宋" w:eastAsia="仿宋"/>
          <w:b w:val="0"/>
          <w:bCs w:val="0"/>
        </w:rPr>
        <w:t>般公共预算财政拨款支出决算明细表</w:t>
      </w:r>
      <w:bookmarkEnd w:id="105"/>
    </w:p>
    <w:p>
      <w:pPr>
        <w:pStyle w:val="3"/>
        <w:spacing w:before="93"/>
        <w:ind w:firstLine="640" w:firstLineChars="200"/>
        <w:rPr>
          <w:rFonts w:ascii="仿宋" w:eastAsia="仿宋"/>
        </w:rPr>
      </w:pPr>
      <w:bookmarkStart w:id="106" w:name="_Toc15396626"/>
      <w:r>
        <w:rPr>
          <w:rStyle w:val="23"/>
          <w:rFonts w:hint="eastAsia" w:ascii="仿宋" w:eastAsia="仿宋"/>
          <w:b w:val="0"/>
          <w:bCs w:val="0"/>
        </w:rPr>
        <w:t>八、</w:t>
      </w:r>
      <w:r>
        <w:rPr>
          <w:rFonts w:hint="eastAsia" w:ascii="仿宋" w:eastAsia="仿宋"/>
          <w:b w:val="0"/>
        </w:rPr>
        <w:t>一</w:t>
      </w:r>
      <w:r>
        <w:rPr>
          <w:rStyle w:val="23"/>
          <w:rFonts w:hint="eastAsia" w:ascii="仿宋" w:eastAsia="仿宋"/>
          <w:b w:val="0"/>
          <w:bCs w:val="0"/>
        </w:rPr>
        <w:t>般公共预算财政拨款基本支出决算表</w:t>
      </w:r>
      <w:bookmarkEnd w:id="106"/>
    </w:p>
    <w:p>
      <w:pPr>
        <w:pStyle w:val="3"/>
        <w:spacing w:before="93"/>
        <w:ind w:firstLine="640" w:firstLineChars="200"/>
        <w:rPr>
          <w:rFonts w:ascii="仿宋" w:eastAsia="仿宋"/>
        </w:rPr>
      </w:pPr>
      <w:bookmarkStart w:id="107" w:name="_Toc15396627"/>
      <w:r>
        <w:rPr>
          <w:rStyle w:val="23"/>
          <w:rFonts w:hint="eastAsia" w:ascii="仿宋" w:eastAsia="仿宋"/>
          <w:b w:val="0"/>
          <w:bCs w:val="0"/>
        </w:rPr>
        <w:t>九、</w:t>
      </w:r>
      <w:r>
        <w:rPr>
          <w:rFonts w:hint="eastAsia" w:ascii="仿宋" w:eastAsia="仿宋"/>
          <w:b w:val="0"/>
        </w:rPr>
        <w:t>一</w:t>
      </w:r>
      <w:r>
        <w:rPr>
          <w:rStyle w:val="23"/>
          <w:rFonts w:hint="eastAsia" w:ascii="仿宋" w:eastAsia="仿宋"/>
          <w:b w:val="0"/>
          <w:bCs w:val="0"/>
        </w:rPr>
        <w:t>般公共预算财政拨款项目支出决算表</w:t>
      </w:r>
      <w:bookmarkEnd w:id="107"/>
    </w:p>
    <w:p>
      <w:pPr>
        <w:pStyle w:val="3"/>
        <w:spacing w:before="93"/>
        <w:ind w:firstLine="640" w:firstLineChars="200"/>
        <w:rPr>
          <w:rFonts w:ascii="仿宋" w:eastAsia="仿宋"/>
        </w:rPr>
      </w:pPr>
      <w:bookmarkStart w:id="108" w:name="_Toc15396628"/>
      <w:r>
        <w:rPr>
          <w:rStyle w:val="23"/>
          <w:rFonts w:hint="eastAsia" w:ascii="仿宋" w:eastAsia="仿宋"/>
          <w:b w:val="0"/>
          <w:bCs w:val="0"/>
        </w:rPr>
        <w:t>十、</w:t>
      </w:r>
      <w:r>
        <w:rPr>
          <w:rFonts w:hint="eastAsia" w:ascii="仿宋" w:eastAsia="仿宋"/>
          <w:b w:val="0"/>
        </w:rPr>
        <w:t>一</w:t>
      </w:r>
      <w:r>
        <w:rPr>
          <w:rStyle w:val="23"/>
          <w:rFonts w:hint="eastAsia" w:ascii="仿宋" w:eastAsia="仿宋"/>
          <w:b w:val="0"/>
          <w:bCs w:val="0"/>
        </w:rPr>
        <w:t>般公共预算财政拨款“三公”经费支出决算表</w:t>
      </w:r>
      <w:bookmarkEnd w:id="108"/>
    </w:p>
    <w:p>
      <w:pPr>
        <w:pStyle w:val="3"/>
        <w:spacing w:before="93"/>
        <w:ind w:firstLine="640" w:firstLineChars="200"/>
        <w:rPr>
          <w:rFonts w:ascii="仿宋" w:eastAsia="仿宋"/>
        </w:rPr>
      </w:pPr>
      <w:bookmarkStart w:id="109" w:name="_Toc15396629"/>
      <w:r>
        <w:rPr>
          <w:rStyle w:val="23"/>
          <w:rFonts w:hint="eastAsia" w:ascii="仿宋" w:eastAsia="仿宋"/>
          <w:b w:val="0"/>
          <w:bCs w:val="0"/>
        </w:rPr>
        <w:t>十一、</w:t>
      </w:r>
      <w:r>
        <w:rPr>
          <w:rFonts w:hint="eastAsia" w:ascii="仿宋" w:eastAsia="仿宋"/>
          <w:b w:val="0"/>
        </w:rPr>
        <w:t>政</w:t>
      </w:r>
      <w:r>
        <w:rPr>
          <w:rStyle w:val="23"/>
          <w:rFonts w:hint="eastAsia" w:ascii="仿宋" w:eastAsia="仿宋"/>
          <w:b w:val="0"/>
          <w:bCs w:val="0"/>
        </w:rPr>
        <w:t>府性基金预算财政拨款收入支出决算表</w:t>
      </w:r>
      <w:bookmarkEnd w:id="109"/>
    </w:p>
    <w:p>
      <w:pPr>
        <w:pStyle w:val="3"/>
        <w:spacing w:before="93"/>
        <w:ind w:firstLine="640" w:firstLineChars="200"/>
        <w:rPr>
          <w:rFonts w:ascii="仿宋" w:eastAsia="仿宋"/>
        </w:rPr>
      </w:pPr>
      <w:bookmarkStart w:id="110" w:name="_Toc15396630"/>
      <w:r>
        <w:rPr>
          <w:rStyle w:val="23"/>
          <w:rFonts w:hint="eastAsia" w:ascii="仿宋" w:eastAsia="仿宋"/>
          <w:b w:val="0"/>
          <w:bCs w:val="0"/>
        </w:rPr>
        <w:t>十二、</w:t>
      </w:r>
      <w:r>
        <w:rPr>
          <w:rFonts w:hint="eastAsia" w:ascii="仿宋" w:eastAsia="仿宋"/>
          <w:b w:val="0"/>
        </w:rPr>
        <w:t>政</w:t>
      </w:r>
      <w:r>
        <w:rPr>
          <w:rStyle w:val="23"/>
          <w:rFonts w:hint="eastAsia" w:ascii="仿宋" w:eastAsia="仿宋"/>
          <w:b w:val="0"/>
          <w:bCs w:val="0"/>
        </w:rPr>
        <w:t>府性基金预算财政拨款“三公”经费支出决算表</w:t>
      </w:r>
      <w:bookmarkEnd w:id="110"/>
    </w:p>
    <w:p>
      <w:pPr>
        <w:pStyle w:val="3"/>
        <w:spacing w:before="93"/>
        <w:ind w:firstLine="640" w:firstLineChars="200"/>
        <w:rPr>
          <w:rStyle w:val="23"/>
          <w:rFonts w:ascii="仿宋" w:eastAsia="仿宋"/>
          <w:b w:val="0"/>
          <w:bCs w:val="0"/>
        </w:rPr>
      </w:pPr>
      <w:bookmarkStart w:id="111" w:name="_Toc15396631"/>
      <w:r>
        <w:rPr>
          <w:rStyle w:val="23"/>
          <w:rFonts w:hint="eastAsia" w:ascii="仿宋" w:eastAsia="仿宋"/>
          <w:b w:val="0"/>
          <w:bCs w:val="0"/>
        </w:rPr>
        <w:t>十三、</w:t>
      </w:r>
      <w:r>
        <w:rPr>
          <w:rFonts w:hint="eastAsia" w:ascii="仿宋" w:eastAsia="仿宋"/>
          <w:b w:val="0"/>
        </w:rPr>
        <w:t>国</w:t>
      </w:r>
      <w:r>
        <w:rPr>
          <w:rStyle w:val="23"/>
          <w:rFonts w:hint="eastAsia" w:ascii="仿宋" w:eastAsia="仿宋"/>
          <w:b w:val="0"/>
          <w:bCs w:val="0"/>
        </w:rPr>
        <w:t>有资本经营预算财政拨款收入支出决算表</w:t>
      </w:r>
      <w:bookmarkEnd w:id="111"/>
    </w:p>
    <w:p>
      <w:pPr>
        <w:ind w:firstLine="640" w:firstLineChars="200"/>
        <w:rPr>
          <w:rFonts w:eastAsia="仿宋"/>
        </w:rPr>
      </w:pPr>
      <w:r>
        <w:rPr>
          <w:rStyle w:val="23"/>
          <w:rFonts w:hint="eastAsia" w:ascii="仿宋" w:eastAsia="仿宋"/>
          <w:b w:val="0"/>
          <w:bCs w:val="0"/>
        </w:rPr>
        <w:t>十四、国有资本经营预算财政拨款支出决算表</w:t>
      </w:r>
    </w:p>
    <w:sectPr>
      <w:headerReference r:id="rId5" w:type="default"/>
      <w:footerReference r:id="rId6"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Light">
    <w:altName w:val="文泉驿微米黑"/>
    <w:panose1 w:val="00000000000000000000"/>
    <w:charset w:val="86"/>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_GB2312">
    <w:altName w:val="方正楷体_GBK"/>
    <w:panose1 w:val="02010609030101010101"/>
    <w:charset w:val="86"/>
    <w:family w:val="modern"/>
    <w:pitch w:val="default"/>
    <w:sig w:usb0="00000000" w:usb1="00000000" w:usb2="0000001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等线">
    <w:altName w:val="文泉驿微米黑"/>
    <w:panose1 w:val="00000000000000000000"/>
    <w:charset w:val="86"/>
    <w:family w:val="auto"/>
    <w:pitch w:val="default"/>
    <w:sig w:usb0="00000000" w:usb1="00000000" w:usb2="00000016" w:usb3="00000000" w:csb0="0004000F" w:csb1="00000000"/>
  </w:font>
  <w:font w:name="方正仿宋_GBK">
    <w:panose1 w:val="02000000000000000000"/>
    <w:charset w:val="86"/>
    <w:family w:val="script"/>
    <w:pitch w:val="default"/>
    <w:sig w:usb0="00000001" w:usb1="08000000" w:usb2="00000000" w:usb3="00000000" w:csb0="00040000" w:csb1="00000000"/>
  </w:font>
  <w:font w:name="FZFSK--GBK1-0">
    <w:altName w:val="Times New Roman"/>
    <w:panose1 w:val="00000000000000000000"/>
    <w:charset w:val="00"/>
    <w:family w:val="auto"/>
    <w:pitch w:val="default"/>
    <w:sig w:usb0="00000000" w:usb1="00000000" w:usb2="00000000" w:usb3="00000000" w:csb0="00040001" w:csb1="00000000"/>
  </w:font>
  <w:font w:name="E-BZ">
    <w:altName w:val="Times New Roman"/>
    <w:panose1 w:val="00000000000000000000"/>
    <w:charset w:val="00"/>
    <w:family w:val="auto"/>
    <w:pitch w:val="default"/>
    <w:sig w:usb0="00000000" w:usb1="00000000" w:usb2="00000000"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 w:name="等线">
    <w:altName w:val="文泉驿微米黑"/>
    <w:panose1 w:val="00000000000000000000"/>
    <w:charset w:val="00"/>
    <w:family w:val="auto"/>
    <w:pitch w:val="default"/>
    <w:sig w:usb0="00000000" w:usb1="00000000" w:usb2="00000000" w:usb3="00000000" w:csb0="00000000" w:csb1="00000000"/>
  </w:font>
  <w:font w:name="等线 Light">
    <w:altName w:val="文泉驿微米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64201"/>
      <w:docPartObj>
        <w:docPartGallery w:val="AutoText"/>
      </w:docPartObj>
    </w:sdtPr>
    <w:sdtContent>
      <w:p>
        <w:pPr>
          <w:pStyle w:val="11"/>
          <w:jc w:val="center"/>
        </w:pPr>
        <w:r>
          <w:fldChar w:fldCharType="begin"/>
        </w:r>
        <w:r>
          <w:instrText xml:space="preserve"> PAGE   \* MERGEFORMAT </w:instrText>
        </w:r>
        <w:r>
          <w:fldChar w:fldCharType="separate"/>
        </w:r>
        <w:r>
          <w:t>- 33 -</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64286"/>
      <w:docPartObj>
        <w:docPartGallery w:val="AutoText"/>
      </w:docPartObj>
    </w:sdtPr>
    <w:sdtContent>
      <w:p>
        <w:pPr>
          <w:pStyle w:val="11"/>
          <w:jc w:val="center"/>
        </w:pPr>
        <w:r>
          <w:fldChar w:fldCharType="begin"/>
        </w:r>
        <w:r>
          <w:instrText xml:space="preserve"> PAGE   \* MERGEFORMAT </w:instrText>
        </w:r>
        <w:r>
          <w:fldChar w:fldCharType="separate"/>
        </w:r>
        <w:r>
          <w:rPr>
            <w:lang w:val="zh-CN"/>
          </w:rPr>
          <w:t>34</w:t>
        </w:r>
        <w:r>
          <w:rPr>
            <w:lang w:val="zh-CN"/>
          </w:rP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1"/>
          <w:jc w:val="center"/>
        </w:pPr>
        <w:r>
          <w:fldChar w:fldCharType="begin"/>
        </w:r>
        <w:r>
          <w:instrText xml:space="preserve">PAGE   \* MERGEFORMAT</w:instrText>
        </w:r>
        <w:r>
          <w:fldChar w:fldCharType="separate"/>
        </w:r>
        <w:r>
          <w:rPr>
            <w:lang w:val="zh-CN"/>
          </w:rPr>
          <w:t>88</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B6B3A"/>
    <w:multiLevelType w:val="singleLevel"/>
    <w:tmpl w:val="94FB6B3A"/>
    <w:lvl w:ilvl="0" w:tentative="0">
      <w:start w:val="5"/>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1014C3F"/>
    <w:multiLevelType w:val="singleLevel"/>
    <w:tmpl w:val="21014C3F"/>
    <w:lvl w:ilvl="0" w:tentative="0">
      <w:start w:val="1"/>
      <w:numFmt w:val="chineseCounting"/>
      <w:suff w:val="nothing"/>
      <w:lvlText w:val="%1、"/>
      <w:lvlJc w:val="left"/>
      <w:rPr>
        <w:rFonts w:hint="eastAsia"/>
      </w:rPr>
    </w:lvl>
  </w:abstractNum>
  <w:abstractNum w:abstractNumId="4">
    <w:nsid w:val="3064A595"/>
    <w:multiLevelType w:val="singleLevel"/>
    <w:tmpl w:val="3064A595"/>
    <w:lvl w:ilvl="0" w:tentative="0">
      <w:start w:val="1"/>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true"/>
  <w:bordersDoNotSurroundFooter w:val="true"/>
  <w:documentProtection w:edit="readOnly" w:enforcement="0"/>
  <w:defaultTabStop w:val="420"/>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c5YzdlYTYwZjBiNzk2ZmNjNDFkM2I1ZmU1MGRhZjIifQ=="/>
  </w:docVars>
  <w:rsids>
    <w:rsidRoot w:val="005A6850"/>
    <w:rsid w:val="00007008"/>
    <w:rsid w:val="00012383"/>
    <w:rsid w:val="0002302E"/>
    <w:rsid w:val="00045CD9"/>
    <w:rsid w:val="00050E73"/>
    <w:rsid w:val="00076641"/>
    <w:rsid w:val="00086ABB"/>
    <w:rsid w:val="000B1C5B"/>
    <w:rsid w:val="0010766E"/>
    <w:rsid w:val="00114179"/>
    <w:rsid w:val="00127850"/>
    <w:rsid w:val="001335E2"/>
    <w:rsid w:val="001407A6"/>
    <w:rsid w:val="00143348"/>
    <w:rsid w:val="00162915"/>
    <w:rsid w:val="00180587"/>
    <w:rsid w:val="00180EC3"/>
    <w:rsid w:val="001A086B"/>
    <w:rsid w:val="00237BA2"/>
    <w:rsid w:val="00240C0D"/>
    <w:rsid w:val="00242258"/>
    <w:rsid w:val="002C7D12"/>
    <w:rsid w:val="003029FA"/>
    <w:rsid w:val="003359EB"/>
    <w:rsid w:val="003369FF"/>
    <w:rsid w:val="00394FD0"/>
    <w:rsid w:val="003B5988"/>
    <w:rsid w:val="003C3995"/>
    <w:rsid w:val="003D5153"/>
    <w:rsid w:val="00427077"/>
    <w:rsid w:val="004759F3"/>
    <w:rsid w:val="004B4818"/>
    <w:rsid w:val="004B52E4"/>
    <w:rsid w:val="004B58A3"/>
    <w:rsid w:val="004E69E2"/>
    <w:rsid w:val="004F7673"/>
    <w:rsid w:val="00505E34"/>
    <w:rsid w:val="00543E64"/>
    <w:rsid w:val="005505D8"/>
    <w:rsid w:val="00556896"/>
    <w:rsid w:val="005733B4"/>
    <w:rsid w:val="00597137"/>
    <w:rsid w:val="005A4607"/>
    <w:rsid w:val="005A6850"/>
    <w:rsid w:val="005C41F5"/>
    <w:rsid w:val="005F054A"/>
    <w:rsid w:val="006163A9"/>
    <w:rsid w:val="006241AC"/>
    <w:rsid w:val="006773A6"/>
    <w:rsid w:val="00685488"/>
    <w:rsid w:val="006A1B44"/>
    <w:rsid w:val="006D0513"/>
    <w:rsid w:val="006D1D23"/>
    <w:rsid w:val="006F3683"/>
    <w:rsid w:val="00713101"/>
    <w:rsid w:val="00725721"/>
    <w:rsid w:val="00754813"/>
    <w:rsid w:val="007551A7"/>
    <w:rsid w:val="00763E11"/>
    <w:rsid w:val="007D6038"/>
    <w:rsid w:val="007E0B38"/>
    <w:rsid w:val="008479FE"/>
    <w:rsid w:val="00863F9C"/>
    <w:rsid w:val="008A354F"/>
    <w:rsid w:val="008A5AD6"/>
    <w:rsid w:val="00963D54"/>
    <w:rsid w:val="009C7DEE"/>
    <w:rsid w:val="009D5736"/>
    <w:rsid w:val="00A07921"/>
    <w:rsid w:val="00A33DAB"/>
    <w:rsid w:val="00A751C6"/>
    <w:rsid w:val="00A97763"/>
    <w:rsid w:val="00AC22A0"/>
    <w:rsid w:val="00AC6288"/>
    <w:rsid w:val="00AD7687"/>
    <w:rsid w:val="00B100F8"/>
    <w:rsid w:val="00B44167"/>
    <w:rsid w:val="00B51049"/>
    <w:rsid w:val="00B51639"/>
    <w:rsid w:val="00B52DD7"/>
    <w:rsid w:val="00BA31A5"/>
    <w:rsid w:val="00BA32CC"/>
    <w:rsid w:val="00BD2147"/>
    <w:rsid w:val="00BE7FE4"/>
    <w:rsid w:val="00C06433"/>
    <w:rsid w:val="00C10515"/>
    <w:rsid w:val="00C126E3"/>
    <w:rsid w:val="00C263A2"/>
    <w:rsid w:val="00C34F4D"/>
    <w:rsid w:val="00C41FE4"/>
    <w:rsid w:val="00C576B8"/>
    <w:rsid w:val="00C805BB"/>
    <w:rsid w:val="00C8594E"/>
    <w:rsid w:val="00CA0EBC"/>
    <w:rsid w:val="00CA36AB"/>
    <w:rsid w:val="00CB4EEC"/>
    <w:rsid w:val="00CD4EB8"/>
    <w:rsid w:val="00CE5027"/>
    <w:rsid w:val="00D12052"/>
    <w:rsid w:val="00D161F0"/>
    <w:rsid w:val="00D3140A"/>
    <w:rsid w:val="00D47884"/>
    <w:rsid w:val="00D655FE"/>
    <w:rsid w:val="00D90040"/>
    <w:rsid w:val="00DC113D"/>
    <w:rsid w:val="00DC5910"/>
    <w:rsid w:val="00DD0E6F"/>
    <w:rsid w:val="00DE2383"/>
    <w:rsid w:val="00E62F5C"/>
    <w:rsid w:val="00E816F2"/>
    <w:rsid w:val="00ED2B6D"/>
    <w:rsid w:val="00F77B6F"/>
    <w:rsid w:val="00FE6411"/>
    <w:rsid w:val="00FF4C91"/>
    <w:rsid w:val="05147881"/>
    <w:rsid w:val="06077506"/>
    <w:rsid w:val="07665A3C"/>
    <w:rsid w:val="08D0203A"/>
    <w:rsid w:val="09B029A0"/>
    <w:rsid w:val="0A91049C"/>
    <w:rsid w:val="0FE817A8"/>
    <w:rsid w:val="102C6E50"/>
    <w:rsid w:val="14786B91"/>
    <w:rsid w:val="16F85F51"/>
    <w:rsid w:val="1E071D1C"/>
    <w:rsid w:val="1EED6D0E"/>
    <w:rsid w:val="1F1B0B0F"/>
    <w:rsid w:val="1F716844"/>
    <w:rsid w:val="21B03CFB"/>
    <w:rsid w:val="22F608FC"/>
    <w:rsid w:val="24CA19B7"/>
    <w:rsid w:val="26DA3CC1"/>
    <w:rsid w:val="287700A8"/>
    <w:rsid w:val="31881DEF"/>
    <w:rsid w:val="372462E0"/>
    <w:rsid w:val="3DE762A7"/>
    <w:rsid w:val="3F274044"/>
    <w:rsid w:val="3F642AE1"/>
    <w:rsid w:val="41C06A59"/>
    <w:rsid w:val="41F201BF"/>
    <w:rsid w:val="43861E93"/>
    <w:rsid w:val="444B446B"/>
    <w:rsid w:val="466F483C"/>
    <w:rsid w:val="47E66DED"/>
    <w:rsid w:val="48BA1BBF"/>
    <w:rsid w:val="4C933B90"/>
    <w:rsid w:val="51215792"/>
    <w:rsid w:val="55A9266A"/>
    <w:rsid w:val="56870139"/>
    <w:rsid w:val="56FE711B"/>
    <w:rsid w:val="579529CC"/>
    <w:rsid w:val="58B209D0"/>
    <w:rsid w:val="59732E10"/>
    <w:rsid w:val="5DB26EB1"/>
    <w:rsid w:val="63D23E09"/>
    <w:rsid w:val="6AC42F7F"/>
    <w:rsid w:val="6EBC193D"/>
    <w:rsid w:val="6F0D3F47"/>
    <w:rsid w:val="703573F6"/>
    <w:rsid w:val="71414F60"/>
    <w:rsid w:val="735C6A55"/>
    <w:rsid w:val="73A90CC8"/>
    <w:rsid w:val="772C162A"/>
    <w:rsid w:val="7C384448"/>
    <w:rsid w:val="7C6630B4"/>
    <w:rsid w:val="7D5F7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4"/>
    <w:next w:val="4"/>
    <w:link w:val="23"/>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unhideWhenUsed/>
    <w:qFormat/>
    <w:uiPriority w:val="0"/>
    <w:pPr>
      <w:ind w:firstLine="420" w:firstLineChars="100"/>
    </w:pPr>
  </w:style>
  <w:style w:type="paragraph" w:styleId="5">
    <w:name w:val="Body Text"/>
    <w:basedOn w:val="1"/>
    <w:next w:val="1"/>
    <w:link w:val="22"/>
    <w:qFormat/>
    <w:uiPriority w:val="0"/>
    <w:pPr>
      <w:spacing w:beforeLines="30"/>
    </w:pPr>
    <w:rPr>
      <w:rFonts w:ascii="仿宋_GB2312" w:eastAsia="仿宋_GB2312"/>
      <w:kern w:val="0"/>
      <w:sz w:val="30"/>
    </w:rPr>
  </w:style>
  <w:style w:type="paragraph" w:styleId="7">
    <w:name w:val="Body Text Indent"/>
    <w:basedOn w:val="1"/>
    <w:semiHidden/>
    <w:unhideWhenUsed/>
    <w:qFormat/>
    <w:uiPriority w:val="99"/>
    <w:pPr>
      <w:spacing w:after="120"/>
      <w:ind w:left="420" w:leftChars="200"/>
    </w:pPr>
  </w:style>
  <w:style w:type="paragraph" w:styleId="8">
    <w:name w:val="toc 3"/>
    <w:basedOn w:val="1"/>
    <w:next w:val="1"/>
    <w:qFormat/>
    <w:uiPriority w:val="39"/>
    <w:pPr>
      <w:tabs>
        <w:tab w:val="right" w:leader="dot" w:pos="8296"/>
      </w:tabs>
      <w:ind w:left="400" w:leftChars="400"/>
    </w:pPr>
  </w:style>
  <w:style w:type="paragraph" w:styleId="9">
    <w:name w:val="Body Text Indent 2"/>
    <w:basedOn w:val="1"/>
    <w:link w:val="24"/>
    <w:unhideWhenUsed/>
    <w:qFormat/>
    <w:uiPriority w:val="0"/>
    <w:pPr>
      <w:spacing w:after="120" w:line="480" w:lineRule="auto"/>
      <w:ind w:left="420" w:leftChars="200"/>
    </w:pPr>
  </w:style>
  <w:style w:type="paragraph" w:styleId="10">
    <w:name w:val="Balloon Text"/>
    <w:basedOn w:val="1"/>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qFormat/>
    <w:uiPriority w:val="99"/>
    <w:pPr>
      <w:spacing w:before="100" w:beforeAutospacing="1" w:after="100" w:afterAutospacing="1"/>
      <w:jc w:val="left"/>
    </w:pPr>
    <w:rPr>
      <w:rFonts w:ascii="Calibri" w:hAnsi="Calibri"/>
      <w:kern w:val="0"/>
      <w:sz w:val="24"/>
    </w:rPr>
  </w:style>
  <w:style w:type="paragraph" w:styleId="16">
    <w:name w:val="Body Text First Indent 2"/>
    <w:basedOn w:val="7"/>
    <w:qFormat/>
    <w:uiPriority w:val="0"/>
    <w:pPr>
      <w:widowControl/>
      <w:ind w:left="200" w:firstLine="200" w:firstLineChars="200"/>
      <w:jc w:val="left"/>
    </w:pPr>
    <w:rPr>
      <w:rFonts w:ascii="宋体" w:hAnsi="Calibri" w:cs="宋体"/>
      <w:kern w:val="0"/>
      <w:sz w:val="24"/>
    </w:rPr>
  </w:style>
  <w:style w:type="character" w:styleId="19">
    <w:name w:val="Strong"/>
    <w:basedOn w:val="18"/>
    <w:qFormat/>
    <w:uiPriority w:val="0"/>
    <w:rPr>
      <w:b/>
    </w:rPr>
  </w:style>
  <w:style w:type="character" w:styleId="20">
    <w:name w:val="Hyperlink"/>
    <w:basedOn w:val="18"/>
    <w:qFormat/>
    <w:uiPriority w:val="99"/>
    <w:rPr>
      <w:color w:val="0000FF"/>
      <w:u w:val="single"/>
    </w:rPr>
  </w:style>
  <w:style w:type="character" w:customStyle="1" w:styleId="21">
    <w:name w:val="标题 1 Char"/>
    <w:basedOn w:val="18"/>
    <w:link w:val="2"/>
    <w:qFormat/>
    <w:uiPriority w:val="9"/>
    <w:rPr>
      <w:rFonts w:ascii="Times New Roman" w:hAnsi="Times New Roman" w:eastAsia="宋体" w:cs="Times New Roman"/>
      <w:b/>
      <w:bCs/>
      <w:kern w:val="44"/>
      <w:sz w:val="44"/>
      <w:szCs w:val="44"/>
      <w:lang w:val="en-US" w:eastAsia="zh-CN" w:bidi="ar-SA"/>
    </w:rPr>
  </w:style>
  <w:style w:type="character" w:customStyle="1" w:styleId="22">
    <w:name w:val="正文文本 Char"/>
    <w:basedOn w:val="18"/>
    <w:link w:val="5"/>
    <w:qFormat/>
    <w:uiPriority w:val="0"/>
    <w:rPr>
      <w:rFonts w:ascii="仿宋_GB2312" w:eastAsia="仿宋_GB2312"/>
      <w:sz w:val="30"/>
      <w:szCs w:val="24"/>
    </w:rPr>
  </w:style>
  <w:style w:type="character" w:customStyle="1" w:styleId="23">
    <w:name w:val="标题 2 Char"/>
    <w:basedOn w:val="18"/>
    <w:link w:val="3"/>
    <w:qFormat/>
    <w:uiPriority w:val="0"/>
    <w:rPr>
      <w:rFonts w:ascii="Cambria" w:hAnsi="Cambria" w:eastAsia="宋体" w:cs="Times New Roman"/>
      <w:b/>
      <w:bCs/>
      <w:kern w:val="2"/>
      <w:sz w:val="32"/>
      <w:szCs w:val="32"/>
      <w:lang w:val="en-US" w:eastAsia="zh-CN" w:bidi="ar-SA"/>
    </w:rPr>
  </w:style>
  <w:style w:type="character" w:customStyle="1" w:styleId="24">
    <w:name w:val="正文文本缩进 2 Char"/>
    <w:basedOn w:val="18"/>
    <w:link w:val="9"/>
    <w:qFormat/>
    <w:uiPriority w:val="0"/>
    <w:rPr>
      <w:kern w:val="2"/>
      <w:sz w:val="21"/>
      <w:szCs w:val="24"/>
    </w:rPr>
  </w:style>
  <w:style w:type="character" w:customStyle="1" w:styleId="25">
    <w:name w:val="页脚 Char"/>
    <w:basedOn w:val="18"/>
    <w:link w:val="11"/>
    <w:qFormat/>
    <w:uiPriority w:val="99"/>
    <w:rPr>
      <w:rFonts w:ascii="Calibri" w:hAnsi="Calibri"/>
      <w:sz w:val="18"/>
      <w:szCs w:val="18"/>
    </w:rPr>
  </w:style>
  <w:style w:type="character" w:customStyle="1" w:styleId="26">
    <w:name w:val="Header Char"/>
    <w:basedOn w:val="18"/>
    <w:qFormat/>
    <w:uiPriority w:val="0"/>
    <w:rPr>
      <w:rFonts w:ascii="Times New Roman" w:hAnsi="Times New Roman"/>
      <w:sz w:val="18"/>
      <w:szCs w:val="18"/>
    </w:rPr>
  </w:style>
  <w:style w:type="character" w:customStyle="1" w:styleId="27">
    <w:name w:val="Footer Char"/>
    <w:basedOn w:val="18"/>
    <w:qFormat/>
    <w:uiPriority w:val="0"/>
    <w:rPr>
      <w:rFonts w:ascii="Times New Roman" w:hAnsi="Times New Roman"/>
      <w:sz w:val="18"/>
      <w:szCs w:val="18"/>
    </w:rPr>
  </w:style>
  <w:style w:type="character" w:customStyle="1" w:styleId="28">
    <w:name w:val="Body Text Char"/>
    <w:basedOn w:val="18"/>
    <w:qFormat/>
    <w:uiPriority w:val="0"/>
    <w:rPr>
      <w:rFonts w:ascii="Times New Roman" w:hAnsi="Times New Roman"/>
      <w:szCs w:val="24"/>
    </w:rPr>
  </w:style>
  <w:style w:type="paragraph" w:customStyle="1" w:styleId="29">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0">
    <w:name w:val="List Paragraph"/>
    <w:basedOn w:val="1"/>
    <w:qFormat/>
    <w:uiPriority w:val="0"/>
    <w:pPr>
      <w:ind w:firstLine="200" w:firstLineChars="200"/>
    </w:pPr>
  </w:style>
  <w:style w:type="paragraph" w:customStyle="1" w:styleId="31">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33">
    <w:name w:val="NormalCharacter"/>
    <w:semiHidden/>
    <w:qFormat/>
    <w:uiPriority w:val="0"/>
  </w:style>
  <w:style w:type="paragraph" w:customStyle="1" w:styleId="34">
    <w:name w:val="Body text|1"/>
    <w:basedOn w:val="1"/>
    <w:qFormat/>
    <w:uiPriority w:val="0"/>
    <w:pPr>
      <w:spacing w:line="389" w:lineRule="auto"/>
      <w:ind w:firstLine="400"/>
    </w:pPr>
    <w:rPr>
      <w:rFonts w:ascii="宋体" w:hAnsi="宋体" w:cs="宋体"/>
      <w:color w:val="545F76"/>
      <w:sz w:val="30"/>
      <w:szCs w:val="30"/>
      <w:lang w:val="zh-TW" w:eastAsia="zh-TW" w:bidi="zh-TW"/>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收入、支出决算总计变动情况图</a:t>
            </a:r>
            <a:endParaRPr sz="1200" b="0">
              <a:latin typeface="黑体" panose="02010609060101010101" charset="-122"/>
              <a:ea typeface="黑体" panose="0201060906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收入</c:v>
                </c:pt>
              </c:strCache>
            </c:strRef>
          </c:tx>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408.22</c:v>
                </c:pt>
                <c:pt idx="1">
                  <c:v>540.2</c:v>
                </c:pt>
              </c:numCache>
            </c:numRef>
          </c:val>
        </c:ser>
        <c:ser>
          <c:idx val="1"/>
          <c:order val="1"/>
          <c:tx>
            <c:strRef>
              <c:f>Sheet1!$C$1</c:f>
              <c:strCache>
                <c:ptCount val="1"/>
                <c:pt idx="0">
                  <c:v>支出</c:v>
                </c:pt>
              </c:strCache>
            </c:strRef>
          </c:tx>
          <c:spPr>
            <a:gradFill flip="none" rotWithShape="true">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465.84</c:v>
                </c:pt>
                <c:pt idx="1">
                  <c:v>548.92</c:v>
                </c:pt>
              </c:numCache>
            </c:numRef>
          </c:val>
        </c:ser>
        <c:dLbls>
          <c:showLegendKey val="false"/>
          <c:showVal val="true"/>
          <c:showCatName val="false"/>
          <c:showSerName val="false"/>
          <c:showPercent val="false"/>
          <c:showBubbleSize val="false"/>
        </c:dLbls>
        <c:gapWidth val="355"/>
        <c:overlap val="-70"/>
        <c:axId val="83131776"/>
        <c:axId val="83035264"/>
      </c:barChart>
      <c:catAx>
        <c:axId val="83131776"/>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035264"/>
        <c:crosses val="autoZero"/>
        <c:auto val="true"/>
        <c:lblAlgn val="ctr"/>
        <c:lblOffset val="100"/>
        <c:noMultiLvlLbl val="false"/>
      </c:catAx>
      <c:valAx>
        <c:axId val="83035264"/>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prstDash val="solid"/>
              <a:round/>
            </a:ln>
            <a:effectLst/>
          </c:spPr>
        </c:majorGridlines>
        <c:numFmt formatCode="General" sourceLinked="true"/>
        <c:majorTickMark val="out"/>
        <c:minorTickMark val="none"/>
        <c:tickLblPos val="none"/>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131776"/>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收入决算结构图</c:v>
                </c:pt>
              </c:strCache>
            </c:strRef>
          </c:tx>
          <c:explosion val="0"/>
          <c:dPt>
            <c:idx val="0"/>
            <c:bubble3D val="false"/>
            <c:spPr>
              <a:solidFill>
                <a:schemeClr val="accent1">
                  <a:shade val="76667"/>
                </a:schemeClr>
              </a:solidFill>
              <a:ln>
                <a:noFill/>
              </a:ln>
              <a:effectLst>
                <a:outerShdw blurRad="254000" sx="102000" sy="102000" algn="ctr" rotWithShape="0">
                  <a:prstClr val="black">
                    <a:alpha val="20000"/>
                  </a:prstClr>
                </a:outerShdw>
              </a:effectLst>
            </c:spPr>
          </c:dPt>
          <c:dPt>
            <c:idx val="1"/>
            <c:bubble3D val="false"/>
            <c:spPr>
              <a:solidFill>
                <a:schemeClr val="accent2">
                  <a:shade val="76667"/>
                </a:schemeClr>
              </a:solidFill>
              <a:ln>
                <a:noFill/>
              </a:ln>
              <a:effectLst>
                <a:outerShdw blurRad="254000" sx="102000" sy="102000" algn="ctr" rotWithShape="0">
                  <a:prstClr val="black">
                    <a:alpha val="20000"/>
                  </a:prstClr>
                </a:outerShdw>
              </a:effectLst>
            </c:spPr>
          </c:dPt>
          <c:dPt>
            <c:idx val="2"/>
            <c:bubble3D val="false"/>
            <c:spPr>
              <a:solidFill>
                <a:schemeClr val="accent3">
                  <a:shade val="76667"/>
                </a:schemeClr>
              </a:solidFill>
              <a:ln>
                <a:noFill/>
              </a:ln>
              <a:effectLst>
                <a:outerShdw blurRad="254000" sx="102000" sy="102000" algn="ctr" rotWithShape="0">
                  <a:prstClr val="black">
                    <a:alpha val="20000"/>
                  </a:prstClr>
                </a:outerShdw>
              </a:effectLst>
            </c:spPr>
          </c:dPt>
          <c:dPt>
            <c:idx val="3"/>
            <c:bubble3D val="false"/>
            <c:spPr>
              <a:solidFill>
                <a:schemeClr val="accent4">
                  <a:shade val="76667"/>
                </a:schemeClr>
              </a:solidFill>
              <a:ln>
                <a:noFill/>
              </a:ln>
              <a:effectLst>
                <a:outerShdw blurRad="254000" sx="102000" sy="102000" algn="ctr" rotWithShape="0">
                  <a:prstClr val="black">
                    <a:alpha val="20000"/>
                  </a:prstClr>
                </a:outerShdw>
              </a:effectLst>
            </c:spPr>
          </c:dPt>
          <c:dPt>
            <c:idx val="4"/>
            <c:bubble3D val="false"/>
            <c:spPr>
              <a:solidFill>
                <a:schemeClr val="accent5">
                  <a:shade val="76667"/>
                </a:schemeClr>
              </a:solidFill>
              <a:ln>
                <a:noFill/>
              </a:ln>
              <a:effectLst>
                <a:outerShdw blurRad="254000" sx="102000" sy="102000" algn="ctr" rotWithShape="0">
                  <a:prstClr val="black">
                    <a:alpha val="20000"/>
                  </a:prstClr>
                </a:outerShdw>
              </a:effectLst>
            </c:spPr>
          </c:dPt>
          <c:dPt>
            <c:idx val="5"/>
            <c:bubble3D val="false"/>
            <c:spPr>
              <a:solidFill>
                <a:schemeClr val="accent6">
                  <a:shade val="76667"/>
                </a:schemeClr>
              </a:solidFill>
              <a:ln>
                <a:noFill/>
              </a:ln>
              <a:effectLst>
                <a:outerShdw blurRad="254000" sx="102000" sy="102000" algn="ctr" rotWithShape="0">
                  <a:prstClr val="black">
                    <a:alpha val="20000"/>
                  </a:prstClr>
                </a:outerShdw>
              </a:effectLst>
            </c:spPr>
          </c:dPt>
          <c:dPt>
            <c:idx val="6"/>
            <c:bubble3D val="false"/>
            <c:spPr>
              <a:solidFill>
                <a:schemeClr val="accent1">
                  <a:tint val="76667"/>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50000"/>
                          <a:lumOff val="50000"/>
                        </a:schemeClr>
                      </a:solidFill>
                      <a:prstDash val="solid"/>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540.2</c:v>
                </c:pt>
                <c:pt idx="1">
                  <c:v>0</c:v>
                </c:pt>
                <c:pt idx="2">
                  <c:v>0</c:v>
                </c:pt>
                <c:pt idx="3">
                  <c:v>0</c:v>
                </c:pt>
                <c:pt idx="4">
                  <c:v>0</c:v>
                </c:pt>
                <c:pt idx="5">
                  <c:v>0</c:v>
                </c:pt>
                <c:pt idx="6">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cap="none" spc="20" baseline="0">
                <a:solidFill>
                  <a:schemeClr val="tx1">
                    <a:lumMod val="50000"/>
                    <a:lumOff val="50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tx>
            <c:strRef>
              <c:f>Sheet1!$B$1</c:f>
              <c:strCache>
                <c:ptCount val="1"/>
                <c:pt idx="0">
                  <c:v>收入决算结构图</c:v>
                </c:pt>
              </c:strCache>
            </c:strRef>
          </c:tx>
          <c:explosion val="0"/>
          <c:dPt>
            <c:idx val="0"/>
            <c:bubble3D val="false"/>
            <c:spPr>
              <a:gradFill rotWithShape="true">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false"/>
              </a:gradFill>
              <a:ln w="9525" cap="flat" cmpd="sng" algn="ctr">
                <a:solidFill>
                  <a:schemeClr val="accent1">
                    <a:shade val="95000"/>
                  </a:schemeClr>
                </a:solidFill>
                <a:round/>
              </a:ln>
              <a:effectLst/>
            </c:spPr>
          </c:dPt>
          <c:dPt>
            <c:idx val="1"/>
            <c:bubble3D val="false"/>
            <c:spPr>
              <a:gradFill rotWithShape="true">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false"/>
              </a:gradFill>
              <a:ln w="9525" cap="flat" cmpd="sng" algn="ctr">
                <a:solidFill>
                  <a:schemeClr val="accent2">
                    <a:shade val="95000"/>
                  </a:schemeClr>
                </a:solidFill>
                <a:round/>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432.31</c:v>
                </c:pt>
                <c:pt idx="1">
                  <c:v>116.61</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财政拨款收、支决算总计</a:t>
            </a:r>
            <a:endParaRPr sz="1200" b="0">
              <a:latin typeface="黑体" panose="02010609060101010101" charset="-122"/>
              <a:ea typeface="黑体" panose="02010609060101010101" charset="-122"/>
            </a:endParaRPr>
          </a:p>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变动情况图</a:t>
            </a:r>
            <a:endParaRPr sz="1200" b="0">
              <a:latin typeface="黑体" panose="02010609060101010101" charset="-122"/>
              <a:ea typeface="黑体" panose="02010609060101010101" charset="-122"/>
            </a:endParaRPr>
          </a:p>
        </c:rich>
      </c:tx>
      <c:layout/>
      <c:overlay val="false"/>
      <c:spPr>
        <a:noFill/>
        <a:ln>
          <a:noFill/>
        </a:ln>
        <a:effectLst/>
      </c:spPr>
    </c:title>
    <c:autoTitleDeleted val="false"/>
    <c:plotArea>
      <c:layout>
        <c:manualLayout>
          <c:layoutTarget val="inner"/>
          <c:xMode val="edge"/>
          <c:yMode val="edge"/>
          <c:x val="0.0616155018506424"/>
          <c:y val="0.336023477622892"/>
          <c:w val="0.904202046592641"/>
          <c:h val="0.39523110785033"/>
        </c:manualLayout>
      </c:layout>
      <c:barChart>
        <c:barDir val="col"/>
        <c:grouping val="clustered"/>
        <c:varyColors val="false"/>
        <c:ser>
          <c:idx val="0"/>
          <c:order val="0"/>
          <c:tx>
            <c:strRef>
              <c:f>Sheet1!$B$1</c:f>
              <c:strCache>
                <c:ptCount val="1"/>
                <c:pt idx="0">
                  <c:v>收入</c:v>
                </c:pt>
              </c:strCache>
            </c:strRef>
          </c:tx>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408.22</c:v>
                </c:pt>
                <c:pt idx="1">
                  <c:v>540.2</c:v>
                </c:pt>
              </c:numCache>
            </c:numRef>
          </c:val>
        </c:ser>
        <c:ser>
          <c:idx val="1"/>
          <c:order val="1"/>
          <c:tx>
            <c:strRef>
              <c:f>Sheet1!$C$1</c:f>
              <c:strCache>
                <c:ptCount val="1"/>
                <c:pt idx="0">
                  <c:v>支出</c:v>
                </c:pt>
              </c:strCache>
            </c:strRef>
          </c:tx>
          <c:spPr>
            <a:gradFill flip="none" rotWithShape="true">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465.84</c:v>
                </c:pt>
                <c:pt idx="1">
                  <c:v>548.92</c:v>
                </c:pt>
              </c:numCache>
            </c:numRef>
          </c:val>
        </c:ser>
        <c:dLbls>
          <c:showLegendKey val="false"/>
          <c:showVal val="true"/>
          <c:showCatName val="false"/>
          <c:showSerName val="false"/>
          <c:showPercent val="false"/>
          <c:showBubbleSize val="false"/>
        </c:dLbls>
        <c:gapWidth val="355"/>
        <c:overlap val="-70"/>
        <c:axId val="83481344"/>
        <c:axId val="83482880"/>
      </c:barChart>
      <c:catAx>
        <c:axId val="83481344"/>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482880"/>
        <c:crosses val="autoZero"/>
        <c:auto val="true"/>
        <c:lblAlgn val="ctr"/>
        <c:lblOffset val="100"/>
        <c:noMultiLvlLbl val="false"/>
      </c:catAx>
      <c:valAx>
        <c:axId val="83482880"/>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prstDash val="solid"/>
              <a:round/>
            </a:ln>
            <a:effectLst/>
          </c:spPr>
        </c:majorGridlines>
        <c:numFmt formatCode="General" sourceLinked="true"/>
        <c:majorTickMark val="out"/>
        <c:minorTickMark val="none"/>
        <c:tickLblPos val="none"/>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481344"/>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cap="all" spc="50" baseline="0">
                <a:solidFill>
                  <a:schemeClr val="tx1">
                    <a:lumMod val="65000"/>
                    <a:lumOff val="35000"/>
                  </a:schemeClr>
                </a:solidFill>
                <a:latin typeface="+mn-lt"/>
                <a:ea typeface="+mn-ea"/>
                <a:cs typeface="+mn-cs"/>
              </a:defRPr>
            </a:pPr>
            <a:r>
              <a:rPr sz="1000" b="0">
                <a:latin typeface="黑体" panose="02010609060101010101" charset="-122"/>
                <a:ea typeface="黑体" panose="02010609060101010101" charset="-122"/>
              </a:rPr>
              <a:t>一般公共预算财政拨款</a:t>
            </a:r>
            <a:endParaRPr sz="1000" b="0">
              <a:latin typeface="黑体" panose="02010609060101010101" charset="-122"/>
              <a:ea typeface="黑体" panose="02010609060101010101" charset="-122"/>
            </a:endParaRPr>
          </a:p>
          <a:p>
            <a:pPr>
              <a:defRPr lang="zh-CN" sz="1800" b="1" i="0" u="none" strike="noStrike" kern="1200" cap="all" spc="50" baseline="0">
                <a:solidFill>
                  <a:schemeClr val="tx1">
                    <a:lumMod val="65000"/>
                    <a:lumOff val="35000"/>
                  </a:schemeClr>
                </a:solidFill>
                <a:latin typeface="+mn-lt"/>
                <a:ea typeface="+mn-ea"/>
                <a:cs typeface="+mn-cs"/>
              </a:defRPr>
            </a:pPr>
            <a:r>
              <a:rPr sz="1000" b="0">
                <a:latin typeface="黑体" panose="02010609060101010101" charset="-122"/>
                <a:ea typeface="黑体" panose="02010609060101010101" charset="-122"/>
              </a:rPr>
              <a:t>支出决算变动情况图</a:t>
            </a:r>
            <a:endParaRPr sz="1000" b="0">
              <a:latin typeface="黑体" panose="02010609060101010101" charset="-122"/>
              <a:ea typeface="黑体" panose="02010609060101010101" charset="-122"/>
            </a:endParaRPr>
          </a:p>
        </c:rich>
      </c:tx>
      <c:layout>
        <c:manualLayout>
          <c:xMode val="edge"/>
          <c:yMode val="edge"/>
          <c:x val="0.264641846287829"/>
          <c:y val="0.0638297872340425"/>
        </c:manualLayout>
      </c:layout>
      <c:overlay val="false"/>
      <c:spPr>
        <a:noFill/>
        <a:ln>
          <a:noFill/>
        </a:ln>
        <a:effectLst/>
      </c:spPr>
    </c:title>
    <c:autoTitleDeleted val="false"/>
    <c:plotArea>
      <c:layout>
        <c:manualLayout>
          <c:layoutTarget val="inner"/>
          <c:xMode val="edge"/>
          <c:yMode val="edge"/>
          <c:x val="0.0616155018506424"/>
          <c:y val="0.336023477622892"/>
          <c:w val="0.904202046592641"/>
          <c:h val="0.39523110785033"/>
        </c:manualLayout>
      </c:layout>
      <c:barChart>
        <c:barDir val="col"/>
        <c:grouping val="clustered"/>
        <c:varyColors val="false"/>
        <c:ser>
          <c:idx val="0"/>
          <c:order val="0"/>
          <c:tx>
            <c:strRef>
              <c:f>Sheet1!$C$1</c:f>
              <c:strCache>
                <c:ptCount val="1"/>
                <c:pt idx="0">
                  <c:v>支出</c:v>
                </c:pt>
              </c:strCache>
            </c:strRef>
          </c:tx>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465.84</c:v>
                </c:pt>
                <c:pt idx="1">
                  <c:v>548.92</c:v>
                </c:pt>
              </c:numCache>
            </c:numRef>
          </c:val>
        </c:ser>
        <c:dLbls>
          <c:showLegendKey val="false"/>
          <c:showVal val="true"/>
          <c:showCatName val="false"/>
          <c:showSerName val="false"/>
          <c:showPercent val="false"/>
          <c:showBubbleSize val="false"/>
        </c:dLbls>
        <c:gapWidth val="355"/>
        <c:overlap val="-70"/>
        <c:axId val="83441536"/>
        <c:axId val="83443072"/>
      </c:barChart>
      <c:catAx>
        <c:axId val="83441536"/>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443072"/>
        <c:crosses val="autoZero"/>
        <c:auto val="true"/>
        <c:lblAlgn val="ctr"/>
        <c:lblOffset val="100"/>
        <c:noMultiLvlLbl val="false"/>
      </c:catAx>
      <c:valAx>
        <c:axId val="83443072"/>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prstDash val="solid"/>
              <a:round/>
            </a:ln>
            <a:effectLst/>
          </c:spPr>
        </c:majorGridlines>
        <c:numFmt formatCode="General" sourceLinked="true"/>
        <c:majorTickMark val="out"/>
        <c:minorTickMark val="none"/>
        <c:tickLblPos val="none"/>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441536"/>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cap="none" spc="20" baseline="0">
                <a:solidFill>
                  <a:schemeClr val="tx1">
                    <a:lumMod val="50000"/>
                    <a:lumOff val="50000"/>
                  </a:schemeClr>
                </a:solidFill>
                <a:latin typeface="+mn-lt"/>
                <a:ea typeface="+mn-ea"/>
                <a:cs typeface="+mn-cs"/>
              </a:defRPr>
            </a:pPr>
            <a:r>
              <a:t>一般公共预算财政拨款</a:t>
            </a:r>
          </a:p>
          <a:p>
            <a:pPr defTabSz="914400">
              <a:defRPr lang="zh-CN" sz="1400" b="0" i="0" u="none" strike="noStrike" kern="1200" cap="none" spc="20" baseline="0">
                <a:solidFill>
                  <a:schemeClr val="tx1">
                    <a:lumMod val="50000"/>
                    <a:lumOff val="50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tx>
            <c:strRef>
              <c:f>Sheet1!$B$1</c:f>
              <c:strCache>
                <c:ptCount val="1"/>
                <c:pt idx="0">
                  <c:v>一般公共预算财政拨款支出决算结构图</c:v>
                </c:pt>
              </c:strCache>
            </c:strRef>
          </c:tx>
          <c:explosion val="0"/>
          <c:dPt>
            <c:idx val="0"/>
            <c:bubble3D val="false"/>
            <c:spPr>
              <a:gradFill rotWithShape="true">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false"/>
              </a:gradFill>
              <a:ln w="9525" cap="flat" cmpd="sng" algn="ctr">
                <a:solidFill>
                  <a:schemeClr val="accent1">
                    <a:shade val="95000"/>
                  </a:schemeClr>
                </a:solidFill>
                <a:round/>
              </a:ln>
              <a:effectLst/>
            </c:spPr>
          </c:dPt>
          <c:dPt>
            <c:idx val="1"/>
            <c:bubble3D val="false"/>
            <c:spPr>
              <a:gradFill rotWithShape="true">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false"/>
              </a:gradFill>
              <a:ln w="9525" cap="flat" cmpd="sng" algn="ctr">
                <a:solidFill>
                  <a:schemeClr val="accent2">
                    <a:shade val="95000"/>
                  </a:schemeClr>
                </a:solidFill>
                <a:round/>
              </a:ln>
              <a:effectLst/>
            </c:spPr>
          </c:dPt>
          <c:dPt>
            <c:idx val="2"/>
            <c:bubble3D val="false"/>
            <c:spPr>
              <a:gradFill rotWithShape="true">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false"/>
              </a:gradFill>
              <a:ln w="9525" cap="flat" cmpd="sng" algn="ctr">
                <a:solidFill>
                  <a:schemeClr val="accent3">
                    <a:shade val="95000"/>
                  </a:schemeClr>
                </a:solidFill>
                <a:round/>
              </a:ln>
              <a:effectLst/>
            </c:spPr>
          </c:dPt>
          <c:dPt>
            <c:idx val="3"/>
            <c:bubble3D val="false"/>
            <c:spPr>
              <a:gradFill rotWithShape="true">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false"/>
              </a:gradFill>
              <a:ln w="9525" cap="flat" cmpd="sng" algn="ctr">
                <a:solidFill>
                  <a:schemeClr val="accent4">
                    <a:shade val="95000"/>
                  </a:schemeClr>
                </a:solidFill>
                <a:round/>
              </a:ln>
              <a:effectLst/>
            </c:spPr>
          </c:dPt>
          <c:dLbls>
            <c:dLbl>
              <c:idx val="0"/>
              <c:layout>
                <c:manualLayout>
                  <c:x val="0.117789050862234"/>
                  <c:y val="-0.079628276753798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79340648910359"/>
                  <c:y val="0.027472752841789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360186340775686"/>
                  <c:y val="-0.021875015860118"/>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496811653896316"/>
                  <c:y val="-0.019156186504150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482.96</c:v>
                </c:pt>
                <c:pt idx="1">
                  <c:v>31.21</c:v>
                </c:pt>
                <c:pt idx="2">
                  <c:v>14.14</c:v>
                </c:pt>
                <c:pt idx="3">
                  <c:v>20.6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cap="none" spc="20" baseline="0">
                <a:solidFill>
                  <a:schemeClr val="tx1">
                    <a:lumMod val="50000"/>
                    <a:lumOff val="50000"/>
                  </a:schemeClr>
                </a:solidFill>
                <a:latin typeface="+mn-lt"/>
                <a:ea typeface="+mn-ea"/>
                <a:cs typeface="+mn-cs"/>
              </a:defRPr>
            </a:pPr>
            <a:r>
              <a:rPr lang="zh-CN" altLang="zh-CN" sz="1400" b="0" i="0" u="none" strike="noStrike" cap="none" baseline="0"/>
              <a:t>“三公”经费财政拨款支出结构</a:t>
            </a:r>
            <a:r>
              <a:t>图</a:t>
            </a:r>
          </a:p>
        </c:rich>
      </c:tx>
      <c:layout/>
      <c:overlay val="false"/>
      <c:spPr>
        <a:noFill/>
        <a:ln>
          <a:noFill/>
        </a:ln>
        <a:effectLst/>
      </c:spPr>
    </c:title>
    <c:autoTitleDeleted val="false"/>
    <c:plotArea>
      <c:layout/>
      <c:pieChart>
        <c:varyColors val="true"/>
        <c:ser>
          <c:idx val="0"/>
          <c:order val="0"/>
          <c:tx>
            <c:strRef>
              <c:f>Sheet1!$B$1</c:f>
              <c:strCache>
                <c:ptCount val="1"/>
                <c:pt idx="0">
                  <c:v>一般公共预算财政拨款支出决算结构图</c:v>
                </c:pt>
              </c:strCache>
            </c:strRef>
          </c:tx>
          <c:explosion val="0"/>
          <c:dPt>
            <c:idx val="0"/>
            <c:bubble3D val="false"/>
            <c:spPr>
              <a:gradFill rotWithShape="true">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false"/>
              </a:gradFill>
              <a:ln w="9525" cap="flat" cmpd="sng" algn="ctr">
                <a:solidFill>
                  <a:schemeClr val="accent1">
                    <a:shade val="95000"/>
                  </a:schemeClr>
                </a:solidFill>
                <a:round/>
              </a:ln>
              <a:effectLst/>
            </c:spPr>
          </c:dPt>
          <c:dPt>
            <c:idx val="1"/>
            <c:bubble3D val="false"/>
            <c:spPr>
              <a:gradFill rotWithShape="true">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false"/>
              </a:gradFill>
              <a:ln w="9525" cap="flat" cmpd="sng" algn="ctr">
                <a:solidFill>
                  <a:schemeClr val="accent2">
                    <a:shade val="95000"/>
                  </a:schemeClr>
                </a:solidFill>
                <a:round/>
              </a:ln>
              <a:effectLst/>
            </c:spPr>
          </c:dPt>
          <c:dPt>
            <c:idx val="2"/>
            <c:bubble3D val="false"/>
            <c:spPr>
              <a:gradFill rotWithShape="true">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false"/>
              </a:gradFill>
              <a:ln w="9525" cap="flat" cmpd="sng" algn="ctr">
                <a:solidFill>
                  <a:schemeClr val="accent3">
                    <a:shade val="95000"/>
                  </a:schemeClr>
                </a:solidFill>
                <a:round/>
              </a:ln>
              <a:effectLst/>
            </c:spPr>
          </c:dPt>
          <c:dLbls>
            <c:dLbl>
              <c:idx val="0"/>
              <c:layout>
                <c:manualLayout>
                  <c:x val="0.117789050862234"/>
                  <c:y val="-0.079628276753798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79340648910359"/>
                  <c:y val="0.027472752841789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360186340775686"/>
                  <c:y val="-0.021875015860118"/>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22.78</c:v>
                </c:pt>
                <c:pt idx="2">
                  <c:v>0.23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92</Pages>
  <Words>6558</Words>
  <Characters>37383</Characters>
  <Lines>311</Lines>
  <Paragraphs>87</Paragraphs>
  <TotalTime>477</TotalTime>
  <ScaleCrop>false</ScaleCrop>
  <LinksUpToDate>false</LinksUpToDate>
  <CharactersWithSpaces>43854</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2022-09-20T11:46:00Z</cp:lastPrinted>
  <dcterms:modified xsi:type="dcterms:W3CDTF">2022-09-28T11:14:05Z</dcterms:modified>
  <dc:title>四川省***</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70D6664A52E1438EB14C8ECEEB02AFCD</vt:lpwstr>
  </property>
</Properties>
</file>